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ACJC/1240/2025 vom 18. September 2025</w:t>
      </w:r>
    </w:p>
    <w:p>
      <w:r>
        <w:t>GE Cour de justice, 2025-09-18, FR</w:t>
      </w:r>
    </w:p>
    <w:p>
      <w:r>
        <w:rPr>
          <w:b/>
        </w:rPr>
        <w:t xml:space="preserve">Quelle: </w:t>
      </w:r>
      <w:r>
        <w:t>https://mcp.opencaselaw.ch/entscheid/ge_gerichte_ACJC_1240_2025</w:t>
      </w:r>
    </w:p>
    <w:p>
      <w:r>
        <w:t>FR: GE_GERICHTE ACJC/1240/2025 du 18 septembre 2025</w:t>
      </w:r>
    </w:p>
    <w:p>
      <w:r>
        <w:t>IT: GE_GERICHTE ACJC/1240/2025 del 18 settembre 2025</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Le délai est de dix jours pour les autres décisions et ordonnances d'instruction de première instance (art. 321 al. 2 CPC). L'ordonnance entreprise ayant été communiquée aux parties après le 1er janvier 2025, les voies de droit prévues par la nouvelle procédure sont applicables (art. 405 al. 1 CPC). Aux termes de l'art. 149 CPC, le tribunal statue définitivement sur la restitution, à moins que le refus de restitution n'entraîne la perte définitive du droit.</w:t>
      </w:r>
    </w:p>
    <w:p>
      <w:r>
        <w:rPr>
          <w:b/>
        </w:rPr>
        <w:t>E. 1.2</w:t>
      </w:r>
    </w:p>
    <w:p>
      <w:r>
        <w:t>A teneur de l'art. 321 al. 1 CPC, il incombe à la partie appelante de motiver son appel, c'est-à-dire de démontrer le caractère erroné de la motivation attaquée (ATF 138 III 374 consid. 4.3.1 concernant l'appel, dont les principes sont applicables au recours; cf. Chaix, Introduction au recours de la nouvelle procédure civile fédérale in SJ 2009 II p. 257 ss, p. 265).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partie appelante attaque et des pièces du dossier sur lesquelles repose sa critique (ATF 138 III 374 consid. 4.3.1 précité);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w:t>
      </w:r>
    </w:p>
    <w:p>
      <w:r>
        <w:rPr>
          <w:b/>
        </w:rPr>
        <w:t>E. 1.3</w:t>
      </w:r>
    </w:p>
    <w:p>
      <w:r>
        <w:t>En l'espèce, il convient de relever à titre liminaire que la procédure en inscription provisoire d'une hypothèque légale initiée par la recourante a vu son objet modifié de par les sûretés fournies par les propriétaires; dès lors, il s'agit non pas de rechercher dans l'action au fond dans quelle mesure l'immeuble doit répondre, mais dans quelle mesure les sûretés doivent répondre (art. 839 al. 3 CC; STEINAUER, Les droit réels, tome III, 2021, 5ème éd., p. 350 n. 4508). Comme l'hypothèque a été remplacée par des sûretés, le litige au fond a trait au principe de l'affectation de ces sûretés à la garantie de la créance de l'entrepreneur contre le maître de l'ouvrage (arrêt du Tribunal fédéral 4A_449/2015 du 15 décembre 2015 consid. 3.3). Or, l'artisan ou l'entrepreneur qui ouvre action en inscription définitive de l'hypothèque légale contre le propriétaire doit la cumuler avec une</w:t>
      </w:r>
    </w:p>
    <w:p>
      <w:r>
        <w:t>- 6/9 -</w:t>
      </w:r>
    </w:p>
    <w:p>
      <w:r>
        <w:t>C/25079/2023 action condamnatoire en paiement de sa créance contre le débiteur, s'il entend par exemple obtenir un titre de mainlevée définitive au sens de l'art. 80 LP (cf arrêt du Tribunal fédéral 4A_637/2023 du 4 décembre 2024 consid. 3.4, destiné à la publication). Il doit en aller de même lorsque des sûretés ont été fournies en vue d'éviter l'inscription provisoire de l'hypothèque légale, comme en l'occurrence. Le délai fixé par l'ordonnance du 20 mars 2024 a donc pour objet l'introduction d'un acte tendant à l'affectation des sûretés; il ne concerne pas l'introduction éventuelle d'une action en paiement. L'action relative aux sûretés, constituées dans le cadre de la procédure de mesures provisionnelles, est indépendante de celle-ci, ce dont témoigne en l'espèce le numéro de cause distinct sous lequel elle a été enregistrée. S'il paraît logique qu'elle soit dirigée contre les propriétaires qui ont fourni lesdites sûretés, il ne s'impose pas que l'intervenante dans la procédure provisionnelle doive impérativement y être partie (aucune consorité nécessaire de droit matériel au sens de l'art. 70 CPC n'a été prétendue, à juste titre), contrairement au présupposé apparemment partagé par la recourante et les intimés. Dès lors, il n'est pas établi que la condition de la perte définitive d'une partie de l'action soit réalisée, partant que le recours immédiat contre la décision de refus de restitution soit ouvert. Par ailleurs, si le recours a été formé dans le délai légal, la recourante, qui certes comparaît en personne, ne s'attache pas à critiquer précisément la décision entreprise, se limitant à des généralités et à répéter ses arguments de première instance. Au vu de ce qui précède, le recours n'est pas recevable.</w:t>
      </w:r>
    </w:p>
    <w:p>
      <w:r>
        <w:rPr>
          <w:b/>
        </w:rPr>
        <w:t>E. 2</w:t>
      </w:r>
    </w:p>
    <w:p>
      <w:r>
        <w:t>A supposer qu'il ait été recevable, il ne serait en tout état pas fondé pour les motifs qui vont suivre.</w:t>
      </w:r>
    </w:p>
    <w:p>
      <w:r>
        <w:rPr>
          <w:b/>
        </w:rPr>
        <w:t>E. 2.1</w:t>
      </w:r>
    </w:p>
    <w:p>
      <w:r>
        <w:t>Selon l'art. 147 al. 1 CPC, une partie est défaillante lorsqu'elle omet d'accomplir un acte de procédure dans le délai prescrit ou ne se présente pas lorsqu'elle est citée à comparaître.</w:t>
      </w:r>
    </w:p>
    <w:p>
      <w:r>
        <w:t>Dans des cas particuliers, un vice essentiel dans un acte de procédure effectué à temps peut être considéré comme un défaut (FUCHS, in: Sutter-Somm/Lötscher/ Leuenberger/Seiler [Ed.], Kommentar zur Schweizerischen Zivilprozessordnung, 4ème éd. 2025, ad art. 147 n. 4). Si un acte de procédure souffre d'un vice essentiel, qui ne peut être réparé, il y a défaut (TANNER, in: Brunner/Schwander/Vischer [Ed.], Schweizerische Zivilprozessordnung [ZPO], Kommentar, 3ème éd. 2025, ad art. 147 n. 8). Un acte de procédure qui souffre d'un vice essentiel est assimilé à une exécution hors délai (GOZZI, in Basler Kommentar ZPO, 4e éd. 2024, ad art. 147 n. 4).</w:t>
      </w:r>
    </w:p>
    <w:p>
      <w:r>
        <w:t>- 7/9 -</w:t>
      </w:r>
    </w:p>
    <w:p>
      <w:r>
        <w:t>C/25079/2023</w:t>
      </w:r>
    </w:p>
    <w:p>
      <w:r>
        <w:t>A titre d'exemples de vice essentiel sont évoqués par les auteurs précités une absence de motivation ou le paiement partiel d'une avance de frais.</w:t>
      </w:r>
    </w:p>
    <w:p>
      <w:r>
        <w:rPr>
          <w:b/>
        </w:rPr>
        <w:t>E. 2.2</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L'art. 148 al. 1 CPC est ainsi moins sévère que les art. 50 al. 1 LTF, 13 al. 1 PCF, 33 al. 4 LP et 94 al. 1 CPP, lesquelles dispositions subordonnent la restitution à l'absence de toute faute.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Le tribunal appelé à se prononcer sur la requête de restitution dispose d'une marge d'appréciation (arrêt du Tribunal fédéral 5A_180/2019 du 12 juin 2019 consid. 3.1).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précité consid. 5.1, avec réf.; arrêt du Tribunal fédéral 4A_163/2015 consid. 4.1). Pour trancher la question de la restitution du délai, le comportement des auxiliaires doit être imputé à la partie elle-même (ATF 114 Ib 67 consid. 2 et 3; arrêt du Tribunal fédéral 1P.603/2001 du 1er mars 2002 consid. 2.2 et les références citées). De même, une partie doit se laisser imputer la faute de son représentant (ATF 119 II 86 consid. 2; arrêt du Tribunal fédéral 5A_393/2013 du 17 octobre 2013 consid. 2.4). Il importe donc peu que le retard soit imputable au plaideur, à son avocat ou, le cas échéant, aux banques chargées d'un paiement (arrêt du Tribunal fédéral 4P_310/2004 du 30 mars 2005 consid. 4.1, publié in RSPC 2005 p. 262; cf. ég. FRESARD, in Commentaire de la LTF, 2ème éd., 2014, n° 14 s. ad art. 50 LTF).</w:t>
      </w:r>
    </w:p>
    <w:p>
      <w:r>
        <w:rPr>
          <w:b/>
        </w:rPr>
        <w:t>E. 2.3</w:t>
      </w:r>
    </w:p>
    <w:p>
      <w:r>
        <w:t>En l'espèce, il est admis que la recourante a, dans le délai imparti, saisi le Tribunal d'un acte dirigé contre ses parties adverses d'origine, mais non contre l'intervenante accessoire.</w:t>
      </w:r>
    </w:p>
    <w:p>
      <w:r>
        <w:t>Au regard du caractère distinct de la présente procédure, dont l'objet est limité aux sûretés versées par les propriétaires (et dont il n'est pas prétendu que ceux-ci</w:t>
      </w:r>
    </w:p>
    <w:p>
      <w:r>
        <w:t>- 8/9 -</w:t>
      </w:r>
    </w:p>
    <w:p>
      <w:r>
        <w:t>C/25079/2023 n'auraient pas été attraits à temps en validation de la mesure provisionnelle), et de la cause C/1______/2024, il n'est pas acquis que X______ SA devait impérativement y être partie. Certes un acte déposé dans le délai, mais affecté d'un vice essentiel, est susceptible d'entrer dans le champ d'application de l'art. 147 CPC, contrairement à ce qu'a retenu le premier juge; partir du postulat que l'action déposée le 15 octobre 2024 souffrirait d'un tel vice, du fait qu'elle n'était pas dirigée contre X______ SA, ne convainc en revanche pas au vu des développements ci- dessus.</w:t>
      </w:r>
    </w:p>
    <w:p>
      <w:r>
        <w:t>Pour le surplus, spéculer rétroactivement, à partir du regrettable accident vasculaire cérébral dont l'avocat de la recourante a été victime durant la nuit du 17 au 18 octobre 2024, que les facultés intellectuelles du précité auraient été atteintes au moment du dépôt de l'acte le 15 octobre précédent n'est pas davantage fondé. En tout état, l'art. 148 CPC ne trouverait donc pas application.</w:t>
      </w:r>
    </w:p>
    <w:p>
      <w:r>
        <w:t>Enfin, l'argument nouveau de la recourante selon lequel elle serait privée d'un procès au fond, partant d'un accès à la justice, ne résiste pas à l'examen, compte tenu de la situation juridique et procédurale d'espèce déjà exposée sous l'angle de la recevabilité du recours.</w:t>
      </w:r>
    </w:p>
    <w:p>
      <w:r>
        <w:t>En définitive, au vu de ce qui précède, le recours, s'il avait été recevable, n'aurait pas été fondé.</w:t>
      </w:r>
    </w:p>
    <w:p>
      <w:r>
        <w:rPr>
          <w:b/>
        </w:rPr>
        <w:t>E. 3</w:t>
      </w:r>
    </w:p>
    <w:p>
      <w:r>
        <w:t>La recourante, qui succombe, supportera les frais de son recours (art. 106 al. 1 CPC), arrêtés à 600 fr. (art. 31 et 41 RTFMC), compensés avec l'avance opérée, acquise à l'Etat de Genève (art. 111 al. 1 CPC).</w:t>
      </w:r>
    </w:p>
    <w:p>
      <w:r>
        <w:t>Elle versera en outre 600 fr. aux intimés, solidairement entre eux, à titre de dépens de recours (art. 84, 85, 88, 90 RTFMC). * * * * *</w:t>
      </w:r>
    </w:p>
    <w:p>
      <w:r>
        <w:t>- 9/9 -</w:t>
      </w:r>
    </w:p>
    <w:p>
      <w:r>
        <w:t>C/25079/2023 PAR CES MOTIFS, La Chambre civile :</w:t>
      </w:r>
    </w:p>
    <w:p>
      <w:r>
        <w:t>Déclare irrecevable le recours formé le 19 mai 2025 par A______ SARL contre l'ordonnance OTPI/290/2025 rendue le 2 mai 2025 par le Tribunal de première instance dans la cause C/25079/2023 SP. Sur les frais : Arrête les frais judiciaires du recours à 600 fr., compensés avec l'avance opérée, acquise à l'ETAT DE GENEVE. Les met à la charge de A______ Sàrl. Condamne A______ Sàrl à verser à U______ SA, B______ SA, H______, T______, L______, K______, I______, W______, S______, N______, D______, Q______, E______, M______, G______, P______, J______, C______, O______, F______ et R______, solidairement entre eux, 600 fr. à titre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