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ACJC/123/2025 vom 4. Februar 2025</w:t>
      </w:r>
    </w:p>
    <w:p>
      <w:r>
        <w:t>GE Cour de justice, 2025-02-04, FR</w:t>
      </w:r>
    </w:p>
    <w:p>
      <w:r>
        <w:rPr>
          <w:b/>
        </w:rPr>
        <w:t xml:space="preserve">Quelle: </w:t>
      </w:r>
      <w:r>
        <w:t>https://mcp.opencaselaw.ch/entscheid/ge_gerichte_ACJC_123_2025</w:t>
      </w:r>
    </w:p>
    <w:p>
      <w:r>
        <w:t>FR: GE_GERICHTE ACJC/123/2025 du 4 février 2025</w:t>
      </w:r>
    </w:p>
    <w:p>
      <w:r>
        <w:t>IT: GE_GERICHTE ACJC/123/2025 del 4 febbraio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l'entretien de l'intimée,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1 CPC, du montant de la contribution d'entretien restée litigieuse au vu des dernières conclusions des parties devant le premier juge excède 10'000 fr. Formé en temps utile et selon la forme prescrite par la loi (art. 130 al. 1 et 314 al. 1 CPC), l'appel est donc recevable.</w:t>
      </w:r>
    </w:p>
    <w:p>
      <w:r>
        <w:rPr>
          <w:b/>
        </w:rPr>
        <w:t>E. 1.3</w:t>
      </w:r>
    </w:p>
    <w:p>
      <w:r>
        <w:t>La Cour revoit la cause en fait et en droit avec un plein pouvoir d'examen (art. 310 CPC). La présente cause est soumise à la maxime de disposition (art. 58 al. 1 CPC), ainsi qu'à la maxime des débats atténuée (art. 55 al. 1 et 277 al. 1 CPC).</w:t>
      </w:r>
    </w:p>
    <w:p>
      <w:r>
        <w:t>- 8/16 -</w:t>
      </w:r>
    </w:p>
    <w:p>
      <w:r>
        <w:t>C/23756/2023</w:t>
      </w:r>
    </w:p>
    <w:p>
      <w:r>
        <w:rPr>
          <w:b/>
        </w:rPr>
        <w:t>E. 1.4</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1.5</w:t>
      </w:r>
    </w:p>
    <w:p>
      <w:r>
        <w:t>Les parties ont produit des pièces nouvelles en appel.</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1.5.2</w:t>
      </w:r>
    </w:p>
    <w:p>
      <w:r>
        <w:t>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cité consid. 1.2).</w:t>
      </w:r>
    </w:p>
    <w:p>
      <w:r>
        <w:rPr>
          <w:b/>
        </w:rPr>
        <w:t>E. 1.5.3</w:t>
      </w:r>
    </w:p>
    <w:p>
      <w:r>
        <w:t>En l'espèce, la pièce produite par l'appelant (soit un tableau du loyer mensuel moyen selon le nombre de pièces, la nature du logement, l'époque de construction de l'immeuble, la commune, le secteur statistique et le statut du bail en 2023 établi par l'Office genevois de la statistique) émane d'un site bénéficiant d'une empreinte officielle, de sorte que son contenu est notoire au sens des principes rappelés ci-dessus et que cette pièce est recevable en appel.</w:t>
      </w:r>
    </w:p>
    <w:p>
      <w:r>
        <w:t>S'agissant de la pièce produite par l'intimée (à savoir des extraits de sites internet relatifs à des annonces immobilières), la question de sa recevabilité peut rester indécise au vu des considérants qui suivent.</w:t>
      </w:r>
    </w:p>
    <w:p>
      <w:r>
        <w:t>- 9/16 -</w:t>
      </w:r>
    </w:p>
    <w:p>
      <w:r>
        <w:t>C/23756/2023</w:t>
      </w:r>
    </w:p>
    <w:p>
      <w:r>
        <w:rPr>
          <w:b/>
        </w:rPr>
        <w:t>E. 2</w:t>
      </w:r>
    </w:p>
    <w:p>
      <w:r>
        <w:t>L'appelant reproche au Tribunal de ne pas avoir examiné la requête de l'intimée sous l'angle de l'art. 261 al. 1 CPC.</w:t>
      </w:r>
    </w:p>
    <w:p>
      <w:r>
        <w:rPr>
          <w:b/>
        </w:rPr>
        <w:t>E. 2.1</w:t>
      </w:r>
    </w:p>
    <w:p>
      <w:r>
        <w:t>Le Tribunal a retenu que le déménagement de l'intimée et des enfants - nécessité par la décision des parties de vendre l’ancien logement conjugal - constituait un changement notable et durable au sens de l'art. 179 CC et qu'il convenait de procéder à un nouvel examen de la situation financière de la famille sur la base des minima vitaux du droit de la famille. Ce faisant, il a constaté que le déficit de l'intimée s'était accru en raison de l'augmentation de ses frais de logement, ce qui nécessitait la modification de la contribution à son entretien.</w:t>
      </w:r>
    </w:p>
    <w:p>
      <w:r>
        <w:rPr>
          <w:b/>
        </w:rPr>
        <w:t>E. 2.2</w:t>
      </w:r>
    </w:p>
    <w:p>
      <w:r>
        <w:t>L'appelant ne conteste pas que le déménagement de son épouse et des enfants constitue un changement notable et durable de leur situation. Il soutient, en revanche, que, conformément à la jurisprudence prévalant pour les mesures provisionnelles requises dans le cadre d'une procédure de mesures protectrices de l'union conjugale (cf. notamment ACJC/286/2023 du 28 février 2023 consid. 4.1), les mesures provisionnelles sollicitées devraient remplir les conditions de l'art. 261 al. 1 CPC - telles que l'existence d'une urgence, ainsi que d'un risque d'atteinte et de préjudice irréparable -, que, dans le cadre de cet examen, il ne pourrait être tenu compte que des minina vitaux du droit des poursuites (à l'exclusion des minima vitaux du droit de la famille quelle que soit la situation financière de la famille), que, sous cet angle, l'intimée serait en mesure d'absorber l'augmentation de ses frais de logement, que les conditions de l'art. 261 al. 1 CPC ne seraient donc pas réalisées et que la requête de l'intimée aurait dû être rejetée.</w:t>
      </w:r>
    </w:p>
    <w:p>
      <w:r>
        <w:rPr>
          <w:b/>
        </w:rPr>
        <w:t>E. 2.3</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t>- 10/16 -</w:t>
      </w:r>
    </w:p>
    <w:p>
      <w:r>
        <w:t>C/23756/2023</w:t>
      </w:r>
    </w:p>
    <w:p>
      <w:r>
        <w:rPr>
          <w:b/>
        </w:rPr>
        <w:t>E. 2.4</w:t>
      </w:r>
    </w:p>
    <w:p>
      <w:r>
        <w:t>Les mesures protectrices de l'union conjugale demeurent en vigueur même au- delà de l'ouverture de la procédure de divorce. Une fois ordonnées, elles ne peuvent être modifiées par le juge des mesures provisionnelles qu'aux conditions de l'art. 179 CC, applicable par renvoi de l'art. 276 al. 1 CPC (ATF 143 III 617 consid. 3.1; 137 III 614 consid. 3.2.2; arrêts du Tribunal fédéral 5A_522/2022 du</w:t>
      </w:r>
    </w:p>
    <w:p>
      <w:r>
        <w:rPr>
          <w:b/>
        </w:rPr>
        <w:t>E. 2.5</w:t>
      </w:r>
    </w:p>
    <w:p>
      <w:r>
        <w:t>In casu, contrairement à ce que soutient l'appelant, la jurisprudence à laquelle il se réfère n'est applicable qu'aux mesures provisionnelles requises dans le cadre d'une procédure de mesures protectrices de l'union conjugale et les présentes mesures provisionnelles sollicitées dans le cadre d'une procédure de divorce ne sont pas soumises aux conditions de l'art. 261 al. 1 CPC, mais à celles de l'art. 179 CC. Le Tribunal n'était donc pas tenu d'examiner si les conditions de l'art. 261 al. 1 CPC étaient remplies ni d'évaluer la situation financière des parties uniquement sous l'angle de leur minima vitaux du droit des poursuites. Ce grief est donc infondé.</w:t>
      </w:r>
    </w:p>
    <w:p>
      <w:r>
        <w:rPr>
          <w:b/>
        </w:rPr>
        <w:t>E. 3</w:t>
      </w:r>
    </w:p>
    <w:p>
      <w:r>
        <w:t>L'appelant remet en cause la modification de la contribution à l'entretien de l'intimée apportée par le Tribunal.</w:t>
      </w:r>
    </w:p>
    <w:p>
      <w:r>
        <w:rPr>
          <w:b/>
        </w:rPr>
        <w:t>E. 3.1</w:t>
      </w:r>
    </w:p>
    <w:p>
      <w:r>
        <w:t>Le premier juge a retenu qu'en raison de son déménagement, l'intimée faisait face à un déficit de 1'491 fr. 60 par mois (au lieu de 317 fr. précédemment), alors que l'appelant disposait d'un solde mensuel de 4'424 fr. 90. L'épouse pouvait ainsi prétendre à la couverture de son manco. Après couverture de ce déficit (arrondi à 1'500 fr.) et des contributions à l'entretien de D______ et E______, l'époux disposait d'un excédent de 964 fr. par mois, soit un montant correspondant plus ou moins à la part de l’excédent familial auquel il avait lui-même droit (soit 1/3 de 2'924 fr.), si bien qu'il n’y avait pas lieu d’allouer une part de ce solde à l'intimée.</w:t>
      </w:r>
    </w:p>
    <w:p>
      <w:r>
        <w:rPr>
          <w:b/>
        </w:rPr>
        <w:t>E. 3.2</w:t>
      </w:r>
    </w:p>
    <w:p>
      <w:r>
        <w:t>L'appelant reproche au Tribunal d'avoir mal évalué la situation financière de son épouse et relève que celle-ci serait en tout état en mesure de payer l'augmentation de son loyer au moyen du solde du prix de vente du domicile conjugal qu'elle a perçu.</w:t>
      </w:r>
    </w:p>
    <w:p>
      <w:r>
        <w:rPr>
          <w:b/>
        </w:rPr>
        <w:t>E. 3.3</w:t>
      </w:r>
    </w:p>
    <w:p>
      <w:r>
        <w:t>3.3.1 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145 III 169 consid. 3.6; 140 III 337 consid. 4.2.1; 138 III 97 consid. 2.2).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w:t>
      </w:r>
    </w:p>
    <w:p>
      <w:r>
        <w:t>- 12/16 -</w:t>
      </w:r>
    </w:p>
    <w:p>
      <w:r>
        <w:t>C/23756/2023 140 III 337 consid. 4.2.1; 137 III 102 consid. 4.2; arrêt du Tribunal fédéral 5A_255/2022 du 6 juillet 2023 consid. 3.1).</w:t>
      </w:r>
    </w:p>
    <w:p>
      <w:r>
        <w:rPr>
          <w:b/>
        </w:rPr>
        <w:t>E. 3.3.2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147 III 265 consid. 6.6 in fine; arrêt du Tribunal fédéral 5A_476/2024 du 28 février 2024 consid. 3.2.1).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Lorsque les moyens financiers le permettent, l'entretien convenable doit être étendu au minimum vital du droit de la famille. Pour les époux,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peut inclure une participation à cet excédent (ATF 147 III 265 consid. 7.2). L'excédent doit en principe être réparti entre les parents</w:t>
      </w:r>
    </w:p>
    <w:p>
      <w:r>
        <w:t>- 13/16 -</w:t>
      </w:r>
    </w:p>
    <w:p>
      <w:r>
        <w:t>C/23756/2023 et les enfants mineurs par "grandes têtes" et "petites têtes", la part d'un enfant correspondant à la moitié de celle d'un parent (ATF 147 III 265 consid. 7.3).</w:t>
      </w:r>
    </w:p>
    <w:p>
      <w:r>
        <w:t>Le minimum vital du débirentier doit en principe être préservé (ATF 137 III 59 consid. 4.2).</w:t>
      </w:r>
    </w:p>
    <w:p>
      <w:r>
        <w:rPr>
          <w:b/>
        </w:rPr>
        <w:t>E. 3.3.3</w:t>
      </w:r>
    </w:p>
    <w:p>
      <w:r>
        <w:t>Si les revenus ne suffisent pas à assurer l’entretien, rien ne s’oppose en principe à ce que l’on ait recours à la fortune. Savoir si et dans quelle mesure il peut être exigé du débirentier qu’il entame sa fortune pour assurer l’entretien courant doit être apprécié au regard des circonstances concrètes du cas d’espèce. Sont notamment pertinents l’importance, la fonction et la composition de la fortune, de même que la durée pendant laquelle il est nécessaire de recourir à celle-ci. En outre, pour respecter le principe d’égalité entre les époux, on ne saurait exiger d’un conjoint qu’il entame sa fortune que si l’on impose à l’autre d’en faire autant, à moins qu’il n’en soit dépourvu (ATF 147 III 393 consid. 6.1.1 - 6.1.2, in SJ 2022 p. 97; arrêt du Tribunal fédéral 5A_292/2023 du</w:t>
      </w:r>
    </w:p>
    <w:p>
      <w:r>
        <w:rPr>
          <w:b/>
        </w:rPr>
        <w:t>E. 3.3.4</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 du Tribunal fédéral 5A_6/2023 du 10 août 2023 consid. 5.2 et les réf. cit.).</w:t>
      </w:r>
    </w:p>
    <w:p>
      <w:r>
        <w:rPr>
          <w:b/>
        </w:rPr>
        <w:t>E. 3.4</w:t>
      </w:r>
    </w:p>
    <w:p>
      <w:r>
        <w:t>En l'occurrence, il n'est pas contesté que, dans le cadre de l'examen de l'art. 179 CC et au vu de leurs revenus, la situation financière des parties peut être arrêtée en tenant compte de leurs minima vitaux du droit de la famille et que le dies a quo doit être fixé au 15 juillet 2024.</w:t>
      </w:r>
    </w:p>
    <w:p>
      <w:r>
        <w:rPr>
          <w:b/>
        </w:rPr>
        <w:t>E. 3.4.1</w:t>
      </w:r>
    </w:p>
    <w:p>
      <w:r>
        <w:t>L'intimée perçoit des rentes d'un montant total de 4'613 fr. 60 par mois. Le Tribunal a retenu que son minimum vital du droit de la famille actualisé se montait à 6'105 fr. 20 par mois et qu'elle faisait dès lors face à un déficit de 1'491 fr. 60 par mois. L'appelant ne saurait être suivi lorsqu'il prétend que le loyer de son épouse pour un appartement de 5 pièces à F______ est excessif. En effet, s'il ressort certes des données de l'Office genevois de la statistique que le loyer médian dans les communes suburbaines du canton (dont fait partie F______) pour un appartement de 5 pièces était de 1'762 fr. en 2024 (anciens et nouveaux baux confondus), il n'en demeure pas moins que, compte tenu du marché de l'immobilier très tendu à Genève, un loyer libre de 3'238 fr. pour un appartement de 5 pièces avec conclusion récente du bail n'apparaît pas exorbitant et peut-être admis.</w:t>
      </w:r>
    </w:p>
    <w:p>
      <w:r>
        <w:t>- 14/16 -</w:t>
      </w:r>
    </w:p>
    <w:p>
      <w:r>
        <w:t>C/23756/2023 L'époux remet en cause le principe des frais de véhicule de son épouse. Il s'agit toutefois d'un poste retenu dans le cadre des mesures protectrices de l'union conjugale et l'appelant n'invoque pas de faits nouveaux susceptibles de remettre en question le principe de la prise en compte de tels frais. L'intimée soutient, pour sa part, que son minimum vital et son déficit seraient plus élevés que ceux retenus par le Tribunal. Dans la mesure où elle ne remet pas en cause le montant de la contribution en sa faveur arrêtée par le Tribunal à 1'500 fr. par mois, point n'est besoin d'entrer en matière sur ce point. Il sera relevé, à toutes fins utiles, que, faute de contestation, la décision sur mesures protectrices de l'union conjugale est entrée en force, de sorte que seuls les postes retenus à l'époque (ou des postes réellement nouveaux) doivent être pris en compte pour actualiser la situation financière des parties au stade de la modification des mesures protectrices de l'union conjugale sur mesures provisionnelles de divorce (ACJC/1452/2022 du 18 novembre 2022 consid. 5.3.2.2), que les frais en lien avec le van à chevaux n'ont précédemment pas été retenus par la Cour et que les frais d'abonnements multimédias (Netflix, Spotify, etc.) - qui relèvent du loisir - devraient être couverts par l'excédent.</w:t>
      </w:r>
    </w:p>
    <w:p>
      <w:r>
        <w:rPr>
          <w:b/>
        </w:rPr>
        <w:t>E. 3.4.2</w:t>
      </w:r>
    </w:p>
    <w:p>
      <w:r>
        <w:t>L'appelant ne fait pas valoir que le montant de son disponible après couverture de ses propres charges, arrêté à 4'424 fr. 90 par le Tribunal, devrait être revu à la baisse.</w:t>
      </w:r>
    </w:p>
    <w:p>
      <w:r>
        <w:t>L'intimée soutient que son époux bénéficierait de revenus supérieurs à ceux retenus et que ses charges seraient moindres, ce qui lui procurerait un disponible plus important. Toutefois, comme exposé ci-avant, la question de savoir si tel serait le cas peut rester indécise, puisque l'intimée ne sollicite pas de contribution supérieure à celle fixée par le Tribunal et que le disponible de l'appelant lui permet d'assumer cette contribution en sus de l'entretien des enfants.</w:t>
      </w:r>
    </w:p>
    <w:p>
      <w:r>
        <w:rPr>
          <w:b/>
        </w:rPr>
        <w:t>E. 3.4.3</w:t>
      </w:r>
    </w:p>
    <w:p>
      <w:r>
        <w:t>Au vu de ce qui précède, en particulier de la situation financière des époux, c'est à raison que le Tribunal a augmenté la quotité de la contribution à l'entretien de l'intimée et l'a adaptée au déficit - qu'il a arrêté - de cette dernière.</w:t>
      </w:r>
    </w:p>
    <w:p>
      <w:r>
        <w:t>Contrairement à ce que soutient l'appelant, il ne saurait être exigé de l'intimée qu'elle utilise le produit de la vente de l'appartement conjugal pour financer l'augmentation de ses frais de logement résultant de cette vente, dès lors que les revenus de la famille sont suffisants, étant de surcroît relevé que, dans ses conclusions en liquidation du régime matrimonial, ce dernier a sollicité l'attribution en sa faveur de l'entier de ce produit.</w:t>
      </w:r>
    </w:p>
    <w:p>
      <w:r>
        <w:t>Par conséquent, le chiffre 1 du dispositif de l'ordonnance entreprise sera confirmé.</w:t>
      </w:r>
    </w:p>
    <w:p>
      <w:r>
        <w:t>- 15/16 -</w:t>
      </w:r>
    </w:p>
    <w:p>
      <w:r>
        <w:t>C/23756/2023 4.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à 800 fr. (art. 31 et 37 RTFMC), entièrement couverts par l'avance de frais opérée par l'appelant, laquelle demeure intégralement acquise à l'Etat de Genève (art. 111 al. 1 CPC dans sa teneur en vigueur jusqu'au 31 décembre 2024).</w:t>
      </w:r>
    </w:p>
    <w:p>
      <w:r>
        <w:t>Pour des motifs d'équité liés à la nature du litige, ils seront répartis à parts égales entre les époux (art. 95, 104 al. 1, 105, 106 al. 1 et 107 al. 1 let. c CPC).</w:t>
      </w:r>
    </w:p>
    <w:p>
      <w:r>
        <w:t>L'intimée sera, par conséquent, condamnée à verser 400 fr. à l'appelant à titre de remboursement des frais judiciaires d'appel.</w:t>
      </w:r>
    </w:p>
    <w:p>
      <w:r>
        <w:t>Pour les mêmes motifs, les parties supporteront leurs propres dépens d'appel (art. 107 al. 1 let c. CPC). * * * * *</w:t>
      </w:r>
    </w:p>
    <w:p>
      <w:r>
        <w:t>- 16/16 -</w:t>
      </w:r>
    </w:p>
    <w:p>
      <w:r>
        <w:t>C/23756/2023 PAR CES MOTIFS, La Chambre civile : A la forme : Déclare recevable l'appel interjeté le 15 octobre 2024 par A______ contre le chiffre 1 du dispositif de l'ordonnance OTPI/627/2024 rendue le 3 octobre 2024 par le Tribunal de première instance dans la cause C/23756/2023. Au fond : Confirme le chiffre 1 du dispositif de l'ordonnance entreprise. Déboute les parties de toutes autres conclusions. Sur les frais : Arrête les frais judiciaires d'appel à 800 fr., les met à la charge des parties par moitié chacune et les compense avec l'avance fournie, laquelle demeure entièrement acquise à l'Etat de Genève. Condamne B______ à verser à A______ 400 fr. à titre de remboursement des frais judiciaires d'appel. Dit que chaque partie supporte ses propres dépens d'appel. Siégeant : Monsieur Ivo BUETTI, président; Madame Sylvie DROIN, Monsieur Jean REYMOND, juges; Madame Sophie MARTINEZ, greffière. Le président : Ivo BUETTI</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r>
        <w:rPr>
          <w:b/>
        </w:rPr>
        <w:t>E. 6</w:t>
      </w:r>
    </w:p>
    <w:p>
      <w:r>
        <w:t>mai 2024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