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ACJC/1239/2015 vom 19. Oktober 2015</w:t>
      </w:r>
    </w:p>
    <w:p>
      <w:r>
        <w:t>GE Cour de justice, 2015-10-19, FR</w:t>
      </w:r>
    </w:p>
    <w:p>
      <w:r>
        <w:rPr>
          <w:b/>
        </w:rPr>
        <w:t xml:space="preserve">Quelle: </w:t>
      </w:r>
      <w:r>
        <w:t>https://mcp.opencaselaw.ch/entscheid/ge_gerichte_ACJC_1239_2015</w:t>
      </w:r>
    </w:p>
    <w:p>
      <w:r>
        <w:t>FR: GE_GERICHTE ACJC/1239/2015 du 19 octobre 2015</w:t>
      </w:r>
    </w:p>
    <w:p>
      <w:r>
        <w:t>IT: GE_GERICHTE ACJC/1239/2015 del 19 ottobre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l'appel a été formé en temps utile et selon la forme prescrite par la loi (art. 130 al. 1 et 314 al. 1 CPC), dans une cause de nature pécuniaire portant sur le montant de la contribution d'entretien, qui, capitalisée selon l'art. 92 al. 2 CPC, est supérieure à 10'000 fr. L'appel est donc recevable.</w:t>
      </w:r>
    </w:p>
    <w:p>
      <w:r>
        <w:t>- 6/9 -</w:t>
      </w:r>
    </w:p>
    <w:p>
      <w:r>
        <w:t>C/20069/2012</w:t>
      </w:r>
    </w:p>
    <w:p>
      <w:r>
        <w:rPr>
          <w:b/>
        </w:rPr>
        <w:t>E. 1.2</w:t>
      </w:r>
    </w:p>
    <w:p>
      <w:r>
        <w:t>La Cour revoit la cause en fait et en droit avec un plein pouvoir d'examen (art. 310 CPC), l'art. 272 CPC mentionnant par ailleurs qu'elle établit les faits d'office (art. 272 CPC). L'art. 272 CPC ne prévoit que la maxime inquisitoire dite sociale ou limitée qui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sociale ne dispense pas les parties d'indiquer au Tribunal les éléments de fait nécessaires et de produire les preuves disponibles (arrêt du Tribunal fédéral 5A_2/2013 du 6 mars 2013 consid. 4.2).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1.3</w:t>
      </w:r>
    </w:p>
    <w:p>
      <w:r>
        <w:t>Les parties ont produit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sont admissibles au sens de la disposition légale précitée, ce que les parties ne contestent au demeurant pas.</w:t>
      </w:r>
    </w:p>
    <w:p>
      <w:r>
        <w:rPr>
          <w:b/>
        </w:rPr>
        <w:t>E. 2</w:t>
      </w:r>
    </w:p>
    <w:p>
      <w:r>
        <w:t>L'appelant reproche au Tribunal de ne pas avoir réduit le montant de la contribution à l'entretien de son épouse fixé par l'arrêt de la Cour du 13 mars 2013. Il invoque sa santé fragile, une réduction de ses revenus, notamment en 2016, et l'augmentation de ses charges (paiement d'un loyer à sa mère). Il allègue aussi que la situation financière de l'intimée s'est améliorée.</w:t>
      </w:r>
    </w:p>
    <w:p>
      <w:r>
        <w:rPr>
          <w:b/>
        </w:rPr>
        <w:t>E. 2.1</w:t>
      </w:r>
    </w:p>
    <w:p>
      <w:r>
        <w:t>Les mesures protectrices de l'union conjugale demeurent en vigueur même au- delà de l'ouverture de la procédure de divorce. Une fois que des mesures provisionnelles ont été ordonnées, elles ne peuvent être modifiées qu'aux conditions de l'art. 179 CC. Aux termes de l'art. 179 al. 1, 1ère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w:t>
      </w:r>
    </w:p>
    <w:p>
      <w:r>
        <w:t>- 7/9 -</w:t>
      </w:r>
    </w:p>
    <w:p>
      <w:r>
        <w:t>C/20069/2012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w:t>
      </w:r>
    </w:p>
    <w:p>
      <w:r>
        <w:rPr>
          <w:b/>
        </w:rPr>
        <w:t>E. 2.2</w:t>
      </w:r>
    </w:p>
    <w:p>
      <w:r>
        <w:t>En l'espèce, la situation des parties quant à la contribution à l'entretien de l'intimée est régie par les mesures protectrices de l'union conjugale prononcées le</w:t>
      </w:r>
    </w:p>
    <w:p>
      <w:r>
        <w:rPr>
          <w:b/>
        </w:rPr>
        <w:t>E. 2.3</w:t>
      </w:r>
    </w:p>
    <w:p>
      <w:r>
        <w:t>En résumé, la Cour de céans retient qu'aucune modification essentielle et durable n'est survenue depuis le prononcé des mesures protectrices fixant à 3'500 fr. le montant de la contribution due par l'appelant à l'intimée. Les conditions de l'art. 179 al. 1, 1ère phrase CC n'étant pas réunies, la décision du premier juge de rejeter la requête en diminution de contribution formée par l'appelant est juste. Il en résulte que l'appel doit être rejeté. 3. 3.1 Les frais (frais judiciaires et dépens) sont mis à la charge de la partie qui succombe (art. 95 et 106 al. 1 1ère phrase CPC). Le Tribunal peut toutefois s'écarter des règles générales et répartir les frais selon sa libre appréciation, en particulier lorsque le litige relève du droit de la famille (art. 107 al. 1 let. c CPC). 3.2 Les frais judiciaires d'appel seront arrêtés à 800 fr. (art. 96 CPC, art. 31 et 37 du Règlement fixant le tarif des greffes en matière civile, RTFMC - E 1 05.10). Compte tenu de l'issue du litige, ils seront mis à la charge de l'appelant, qui succombe. Ils seront compensés avec l'avance de frais du même montant que ce dernier a versée, laquelle reste acquise à l'Etat de Genève (art. 111 al. 1 CPC). Chaque partie conservera à sa charge ses propres dépens d'appel (art. 95 al. 3 et 107 al. 1 let. c CPC). * * * * *</w:t>
      </w:r>
    </w:p>
    <w:p>
      <w:r>
        <w:t>- 9/9 -</w:t>
      </w:r>
    </w:p>
    <w:p>
      <w:r>
        <w:t>C/20069/2012 PAR CES MOTIFS, La Chambre civile : A la forme : Déclare recevable l'appel interjeté par A______ contre l'ordonnance OTPI/334/2015 rendue le 3 juin 2015 par le Tribunal de première instance dans la cause C/20069/2012-17. Au fond : Confirme l'ordonnance entreprise. Déboute les parties de toutes autres conclusions. Sur les frais : Arrête les frais judiciaires de l'appel à 800 fr., les met à la charge de A______ et dit qu'ils sont compensés par l'avance de frais du même montant,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2012 par le Tribunal, et confirmées par arrêt de la Cour du 22 mars 2013. Il convient ainsi, en premier lieu, de déterminer si la situation des parties s'est, depuis lors, modifiée de manière significative et durable, ce qui justifierait une éventuelle réévaluation du montant de la contribution. En ce qui concerne les revenus de l'appelant, il faut considérer, contrairement à ce qu'il allègue, que ceux-ci ont augmenté. En effet, à l'époque du jugement sur mesures protectrices, l'appelant gagnait 8'040 fr. net par mois, prime d'assurance- maladie déduite. Selon ses propres déclarations, il touche aujourd'hui 8'397 fr. brut par mois, versés 13 fois l'an, soit 9'096 fr. brut par mois. L'appelant expose que sa capacité de gain est réduite en raison de ses problèmes de santé et que s'il devait prendre sa retraite en avril 2016, ses revenus diminueraient drastiquement, puisqu'ils passeraient de plus de 8'000 fr. à 3'600 fr. par mois. Si l'appelant a démontré rencontrer des problèmes de santé par la production d'un certificat médical, il n'a pas rendu vraisemblable que sa capacité de gain était actuellement réduite. En effet, il est en mission à Goma, où il reçoit un salaire pour un travail à plein temps. D'autre part, l'appelant n'a pas rendu vraisemblable qu'il prendra sa retraite en avril 2016, de sorte que l'on ne saurait d'ores et déjà tenir compte d'une éventuelle diminution de ses revenus pour réduire, à compter de cette date, le montant de la contribution qu'il verse à son épouse. L'appelant argue aussi une augmentation de ses charges en produisant un contrat de bail conclu avec sa mère et la preuve des versements effectués à celle-ci. A l'instar de ce qu'a constaté le premier juge, ce contrat de bail existait déjà au moment où la Cour a prononcé son arrêt du 22 mars 2013. D'autre part, comme le relève l'intimée, il est pour le moins curieux que l'appelant verse un loyer à sa mère pour une maison dont il est copropriétaire. Ce d'autant plus que l'appelant n'a pas démontré que sa mère était au bénéfice d'un usufruit sur cette maison. Si l'on doit admettre la vraisemblance d'un versement mensuel de 1000 fr. par mois à sa</w:t>
      </w:r>
    </w:p>
    <w:p>
      <w:r>
        <w:t>- 8/9 -</w:t>
      </w:r>
    </w:p>
    <w:p>
      <w:r>
        <w:t>C/20069/2012 mère sur la base des pièces produites, la nécessité pour l'appelant de conclure un bail avec celle-ci reste douteuse. En ce qui concerne l'intimée, l'appelant n'a pas rendu vraisemblable que celle-ci tirait des revenus de son activité de créatrice de bijoux ou de son travail au sein de l'association pour laquelle elle travaille. A cela s'ajoute qu'il ressort du certificat médical du Dr E______ que l'intimée est atteinte dans sa santé et qu'elle est, pour cette raison, incapable d'exercer une profession. Ce certificat n'a pas été contredit par une autre pièce. L'on doit donc admettre, à ce stade de la procédure, que l'intimée n'a pas d'autre revenu que la contribution que lui verse son époux. En ce qui concerne les charges de l'intimée, celles-ci s'élèvent à 3'006 fr. par mois. Dans l'ordonnance entreprise, le Tribunal a considéré que le solde à disposition de l'appelant, après versement de la pension de 3'500 fr., était plus élevé que le solde à disposition de l'intimée. Cette appréciation n'est pas critiquable. En effet, après paiement de ses charges, il reste un montant d'environ 500 fr. à disposition de l'intimée (3'500 fr. – 3'006 fr.). Après paiement de ses charges et de la pension, il reste à l'appelant un solde supérieur, même dans l'hypothèse où l'on tient compte du montant de 1'000 fr. versé à sa mère à titre de loyer et des revenus qu'il percevait en mars 2003 (8'040 fr. – 1'200 fr. – 1'000 fr. – 3'500 fr. = 2'340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