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ACJC/1236/2022 vom 6. Oktober 2022</w:t>
      </w:r>
    </w:p>
    <w:p>
      <w:r>
        <w:t>GE Cour de justice, 2022-10-06, FR</w:t>
      </w:r>
    </w:p>
    <w:p>
      <w:r>
        <w:rPr>
          <w:b/>
        </w:rPr>
        <w:t xml:space="preserve">Quelle: </w:t>
      </w:r>
      <w:r>
        <w:t>https://mcp.opencaselaw.ch/entscheid/ge_gerichte_ACJC_1236_2022</w:t>
      </w:r>
    </w:p>
    <w:p>
      <w:r>
        <w:t>FR: GE_GERICHTE ACJC/1236/2022 du 6 octobre 2022</w:t>
      </w:r>
    </w:p>
    <w:p>
      <w:r>
        <w:t>IT: GE_GERICHTE ACJC/1236/2022 del 6 ottobre 2022</w:t>
      </w:r>
    </w:p>
    <w:p>
      <w:pPr>
        <w:pStyle w:val="Heading2"/>
      </w:pPr>
      <w:r>
        <w:t>Erwägungen</w:t>
      </w:r>
    </w:p>
    <w:p>
      <w:r>
        <w:rPr>
          <w:b/>
        </w:rPr>
        <w:t>E. 1</w:t>
      </w:r>
    </w:p>
    <w:p>
      <w:r>
        <w:t>1.1.1 S'agissant d'une procédure de mainlevée, seule la voie du recours est ouverte (art. 319 let. a et 309 let. b ch. 3 CPC), la procédure sommaire étant applicable (art. 251 let. a CPC).</w:t>
      </w:r>
    </w:p>
    <w:p>
      <w:r>
        <w:t>Le recours, recevable pour violation du droit ou constatation manifestement inexacte des faits (art. 320 CPC), doit être formé par écrit et être motivé (art. 321 al. 1 CPC).</w:t>
      </w:r>
    </w:p>
    <w:p>
      <w:r>
        <w:t>Il incombe ainsi au recourant de démontrer le caractère erroné de la motivation attaquée. Les exigences posées par le CPC à ce titre sont identiques en procédure d'appel et de recours (arrêt du Tribunal fédéral 5D_190/2014 du 12 mai 2015 consid. 2; JEANDIN, Commentaire romand, n. 4 ad art. 321 CPC), de sorte que pour satisfaire à cette exigence, il ne suffit pas au recourant de renvoyer à une écriture antérieure,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w:t>
      </w:r>
    </w:p>
    <w:p>
      <w:r>
        <w:t>- 4/6 -</w:t>
      </w:r>
    </w:p>
    <w:p>
      <w:r>
        <w:t>C/23152/2021</w:t>
      </w:r>
    </w:p>
    <w:p>
      <w:r>
        <w:t>Le CPC exige ainsi que le recourant discute, au moins de manière succincte, les considérants du jugement qu'il attaque. Ce n'est pas le cas lorsque la motivation du recours est absolument identique aux moyens qui avaient déjà été présentés avant la reddition de la décision de première instance (arrêt du Tribunal fédéral 4A_97/2014 du 26 juin 2014 consid. 3.3). L'acte de recours doit, en outre, contenir des conclusions formulées de telle sorte qu'en cas d'admission de la demande, elles puissent être reprises dans le jugement sans modification (arrêt du Tribunal fédéral 5A_663/2011 du 8 décembre 2011 consid. 4.3 et 4.5). 1.1.2 Les conclusions, allégations de fait et preuves nouvelles sont irrecevables dans le cadre d'un recours (art. 326 al. 1 CPC). En l'espèce, les allégations nouvelles formulées par le recourant sont irrecevables. 1.1.3 Aux termes de l'art. 80 al. 1 LP, le créancier qui est au bénéfice d’un jugement exécutoire peut requérir du juge la mainlevée définitive de l’opposition. Les décisions des autorités administratives suisses sont assimilées à des jugements (art. 80 al. 2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La mainlevée n'étant qu'un incident de la poursuite, une décision de mainlevée ne fonde pas l'exception de chose jugée. La décision de rejet de la mainlevée n'empêche ainsi pas le créancier de requérir une nouvelle fois la mainlevée, y compris dans la même poursuite, en produisant les documents idoines (ABBET/ VEUILLET, La mainlevée de l'opposition, n. 6 et 79, ad. art. 84 LP).</w:t>
      </w:r>
    </w:p>
    <w:p>
      <w:r>
        <w:rPr>
          <w:b/>
        </w:rPr>
        <w:t>E. 1.2</w:t>
      </w:r>
    </w:p>
    <w:p>
      <w:r>
        <w:t>En l'espèce, la motivation du recours ne respecte pas les exigences légales.</w:t>
      </w:r>
    </w:p>
    <w:p>
      <w:r>
        <w:t>Le recourant, qui ne prend aucune conclusion, se limite en effet à renvoyer à ses arguments soulevés devant le Tribunal et aux pièces qu'il a produites, sans discuter les considérants du Tribunal.</w:t>
      </w:r>
    </w:p>
    <w:p>
      <w:r>
        <w:t>Il n'explique pas pourquoi ce serait à tort que celui-ci a retenu que ni le droit de taxer ni le droit de percevoir l'impôt n'étaient atteints par la prescription, contrairement à ce que le recourant avait fait valoir en première instance.</w:t>
      </w:r>
    </w:p>
    <w:p>
      <w:r>
        <w:t>- 5/6 -</w:t>
      </w:r>
    </w:p>
    <w:p>
      <w:r>
        <w:t>C/23152/2021</w:t>
      </w:r>
    </w:p>
    <w:p>
      <w:r>
        <w:t>Le fait que la prescription ait été admise dans une autre cause ne liait notamment pas le Tribunal, puisqu'une décision de refus de mainlevée ne revêt pas l'autorité de chose jugée. Cela est d'autant plus vrai en l'espèce que la décision dont se prévaut le recourant concerne une autre poursuite.</w:t>
      </w:r>
    </w:p>
    <w:p>
      <w:r>
        <w:t>A cela s'ajoute que le juge de la mainlevée n'a pas à examiner les moyens de droit matériel que le débiteur pouvait faire valoir dans le procès qui a abouti à la décision exécutoire (ABBET/ VEUILLET, op. cit., n. 4, ad. art. 81 LP).</w:t>
      </w:r>
    </w:p>
    <w:p>
      <w:r>
        <w:t>Le recours sera dès lors déclaré irrecevable.</w:t>
      </w:r>
    </w:p>
    <w:p>
      <w:r>
        <w:rPr>
          <w:b/>
        </w:rPr>
        <w:t>E. 2</w:t>
      </w:r>
    </w:p>
    <w:p>
      <w:r>
        <w:t>Les frais judiciaires de recours, arrêtés à 375 fr. et compensés à hauteur de ce montant avec l'avance de 750 fr. versée par le recourant, acquise à l'Etat de Genève, seront laissés à charge du recourant qui succombe (art. 48 et 61 OELP; 106 et 111 CPC).</w:t>
      </w:r>
    </w:p>
    <w:p>
      <w:r>
        <w:t>Les Services financiers du Pouvoir judiciaire seront invités à restituer au recourant le solde en 375 fr. de l'avance versée.</w:t>
      </w:r>
    </w:p>
    <w:p>
      <w:r>
        <w:t>Il ne sera pas alloué de dépens à l'intimé qui plaide en personne (art. 85, 88, 89 et 90 RTFMC). * * * * *</w:t>
      </w:r>
    </w:p>
    <w:p>
      <w:r>
        <w:t>- 6/6 -</w:t>
      </w:r>
    </w:p>
    <w:p>
      <w:r>
        <w:t>C/23152/2021</w:t>
      </w:r>
    </w:p>
    <w:p>
      <w:r>
        <w:t>PAR CES MOTIFS, La Chambre civile : Déclare irrecevable le recours interjeté par A______ contre le jugement JTPI/8024/2022 rendu le 30 juin 2022 par le Tribunal de première instance dans la cause C/23152/2021- 19 SML. Met à la charge de A______ les frais judiciaires de recours, arrêtés à 375 fr. et compensés à hauteur de ce montant avec l'avance versée, acquise à l'Etat de Genève. Invite les Services financiers du Pouvoir judiciaire à restituer à A______ le solde de l'avance versée en 375 fr. Dit qu'il n'est pas alloué de dépens. Siégeant : Monsieur Laurent RIEBEN, président; Madame Fabienne GEISINGER-MARIETHOZ, Monsieur Ivo BUETTI, juges; Madame Marie-Pierre GROSJEAN, greffière.</w:t>
      </w:r>
    </w:p>
    <w:p>
      <w:r>
        <w:t>Le président : Laurent RIEBEN</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