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ACJC/1236/2021 vom 29. September 2021</w:t>
      </w:r>
    </w:p>
    <w:p>
      <w:r>
        <w:t>GE Cour de justice, 2021-09-29, FR</w:t>
      </w:r>
    </w:p>
    <w:p>
      <w:r>
        <w:rPr>
          <w:b/>
        </w:rPr>
        <w:t xml:space="preserve">Quelle: </w:t>
      </w:r>
      <w:r>
        <w:t>https://mcp.opencaselaw.ch/entscheid/ge_gerichte_ACJC_1236_2021</w:t>
      </w:r>
    </w:p>
    <w:p>
      <w:r>
        <w:t>FR: GE_GERICHTE ACJC/1236/2021 du 29 septembre 2021</w:t>
      </w:r>
    </w:p>
    <w:p>
      <w:r>
        <w:t>IT: GE_GERICHTE ACJC/1236/2021 del 29 settembre 2021</w:t>
      </w:r>
    </w:p>
    <w:p>
      <w:pPr>
        <w:pStyle w:val="Heading2"/>
      </w:pPr>
      <w:r>
        <w:t>Volltext</w:t>
      </w:r>
    </w:p>
    <w:p>
      <w:r>
        <w:t>Le présent arrêt est communiqué aux parties par plis recommandés du 29 septembre 2021.</w:t>
      </w:r>
    </w:p>
    <w:p>
      <w:r>
        <w:t>REPUBLIQUE ET</w:t>
      </w:r>
    </w:p>
    <w:p>
      <w:r>
        <w:t>CANTON DE GENEVE POUVOIR JUDICIAIRE C/8227/2019 ACJC/1236/2021 ARRÊT DE LA COUR DE JUSTICE Chambre civile DU MARDI 28 SEPTEMBRE 2021</w:t>
      </w:r>
    </w:p>
    <w:p>
      <w:r>
        <w:t>Entre Madame A______, domiciliée ______ [GE], appelante d'un jugement rendu par la 4ème Chambre du Tribunal de première instance de ce canton le 27 août 2021, comparant par Me Monica KOHLER, avocate, rue Marignac 9, case postale 324, 1211 Genève 12, en l'Étude de laquelle elle fait élection de domicile, et Monsieur B______, domicilié ______ [GE], intimé, comparant en personne, et Les mineurs C______ et D______, domiciliés chez leur mère Mme A______(GE), représentés par Me E______, curateur, ______ Genève.</w:t>
      </w:r>
    </w:p>
    <w:p>
      <w:r>
        <w:t>- 2/5 -</w:t>
      </w:r>
    </w:p>
    <w:p>
      <w:r>
        <w:t>C/8227/2019 Vu, EN FAIT, le jugement JTPI/10797/2021 du 27 août 2021, par lequel le Tribunal de première instance (ci-après: le Tribunal), statuant sur mesures protectrices de l'union conjugale, a rejeté la conclusion tendant à ce qu'une expertise psychiatrique du groupe familial soit ordonnée (chiffre 1 du dispositif), institué une garde alternée sur les enfants D______ et C______, devant s'exercer à raison d'une semaine chez A______ et d'une semaine chez B______, du lundi matin au lundi matin, ainsi que la moitié des vacances scolaires (ch. 2), dit que le partage des prochaines vacances aura lieu conformément à la proposition du SEASP à l'issue de son rapport du 8 janvier 2021 (ch. 3), dit que le domicile légal des enfants sera au domicile de A______ (ch. 4), maintenu la curatelle d'organisation et de surveillance du droit aux relations personnelles (ch. 5), instauré une curatelle de soins en faveur des deux mineurs (ch. 6), ainsi qu'une curatelle d'assistance éducative (ch. 7), dit que les frais relatifs à ces curatelles seront partagés entre les parties à raison de la moitié chacune (ch. 8), transmis le jugement au Tribunal de protection de l'adulte et de l'enfant pour l'organisation desdites curatelles (ch. 9), exhorté à nouveau les parties à recourir à la guidance parentale (ch. 10), condamné B______ à verser en mains de A______, par mois et d'avance, allocations familiales non comprises, dès le prononcé du jugement, 800 fr. pour l'entretien de D______ (ch. 11), 800 fr. pour l'entretien de C______ (ch. 12), dit que les allocations familiales seront versées en mains de A______ (ch. 13), condamné B______ à verser à A______ un montant de 5'174 fr. à titre de contribution à son entretien (ch. 14), prononcé lesdites mesures pour une durée indéterminée (ch. 15), arrêté et réparti les frais judiciaires, sans allouer de dépens (ch. 16 et 17); Vu l'appel formé le 10 septembre 2021 par A______ contre le jugement du 27 août 2021, concluant à l'annulation des chiffres 1, 2, 8, 10, 11, 12 et 16 de son dispositif et à ce qu'une expertise du groupe familial soit ordonnée, à ce que la garde des enfants lui soit attribuée, un droit de visite devant être réservé au père, à ce que les frais relatifs aux curatelles soient mis à la charge de l'intimé, à ce qu'il soit constaté que toute forme de guidance parentale était prématurée, à ce que B______ soit condamné à lui verser, par mois et d'avance, hors allocations familiales, dès le prononcé de l'arrêt, un montant de 2'160 fr. pour l'entretien du mineur D______ et de 2'146 fr. pour l'entretien de l'enfant C______, avec suite de frais de première et de seconde instance à la charge de l'intimé; Vu les conclusions prises par l'appelante sollicitant la restitution de l'effet suspensif à l'appel; Que sur ce point, elle a allégué avoir assumé la garde des enfants depuis la séparation et a mis en doute les capacités parentales du père, persistant à considérer qu'une expertise du groupe familial serait nécessaire; Qu'il convenait par conséquent, afin de ne pas exposer les mineurs à des changements successifs dans leur prise en charge, de maintenir la situation en l'état;</w:t>
      </w:r>
    </w:p>
    <w:p>
      <w:r>
        <w:t>- 3/5 -</w:t>
      </w:r>
    </w:p>
    <w:p>
      <w:r>
        <w:t>C/8227/2019 Vu les conclusions prises par le curateur des enfants sur la requête de restitution de l'effet suspensif; Que celui-ci a exposé que jusqu'au prononcé du jugement attaqué, la garde des enfants était assurée par la mère, le père s'étant vu octroyer un droit de visite d'un week-end sur deux et d'un mercredi sur deux, ainsi que durant la moitié des vacances scolaires; Que durant l'été, les enfants avaient vécu, de facto, sous un régime de garde partagée, de sorte que de l'avis du curateur, la pratique de la garde alternée, le temps de la durée de la procédure d'appel, n'était pas de nature à causer aux mineurs un préjudice difficilement réparable; Que l'intimé n'a pas fait usage du délai pour répondre sur la requête d'effet suspensif, délai qui lui avait été fixé par ordonnance du 16 septembre 2021; Que toutefois, dans un mémoire d'appel formé contre le jugement du 27 août 2021, déclaré irrecevable car tardif, l'intimé s'était, de manière préventive, opposé à l'octroi de l'effet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s'agissant de la garde de mineurs et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Qu'en l'espèce, il ressort de la procédure que les deux mineurs sont demeurés sous la garde de leur mère depuis la séparation des parties, le père bénéficiant d'un droit de visite; Que les relations entre les parties sont très conflictuelles, les enfants étant placés au centre du conflit conjugal;</w:t>
      </w:r>
    </w:p>
    <w:p>
      <w:r>
        <w:t>- 4/5 -</w:t>
      </w:r>
    </w:p>
    <w:p>
      <w:r>
        <w:t>C/8227/2019 Que l'intérêt des enfants doit primer sur toute autre considération; Qu'il importe en l'état de privilégier leur stabilité; Que dès lors, il sera fait droit à la requête d'effet suspensif de l'appelante en ce qui concerne le chiffre 2 du dispositif du jugement attaqué; Qu'en effet et contrairement à ce qu'a soutenu le curateur des enfants, le fait que ceux-ci aient été pris en charge durant l'été par chacun des parents ne revient pas à avoir instauré "dans les faits", une garde partagée, puisque cette prise en charge alternée était justement limitée à la période des vacances; Que le fait de faire perdurer, pendant la durée de la procédure d'appel, les modalités de prise en charge que les enfants ont connues depuis la séparation de leurs parents permettra de leur éviter le risque d'un nouveau changement dans l'hypothèse où la solution retenue par le Tribunal ne devait pas être confirmée; Que pour le surplus, il sera relevé que les enfants ne sont pas privés de toutes relations avec leur père, celui-ci continuant de bénéficier d'un droit de visite; Qu'il sera statué sur les frais et dépens liés à la présente décision avec l'arrêt au fond (art. 104 al. 3 CPC). * * * * *</w:t>
      </w:r>
    </w:p>
    <w:p>
      <w:r>
        <w:t>- 5/5 -</w:t>
      </w:r>
    </w:p>
    <w:p>
      <w:r>
        <w:t>C/8227/2019 PAR CES MOTIFS, La présidente de la Chambre civile : Statuant sur requête de suspension du caractère exécutoire du jugement entrepris : Ordonne la suspension du caractère exécutoire attaché au chiffre 2 du dispositif du jugement JTPI/10797/2021 rendu le 27 août 2021 par le Tribunal de première instance dans la cause C/8227/2019. Dit qu'il sera statué sur les frais liés à la présente décision dans l'arrêt rendu sur le fond. Siégeant : Madame Paola CAMPOMAGNANI, présidente; Madame Camille LESTEVEN,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