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ACJC/1236/2016 vom 21. September 2016</w:t>
      </w:r>
    </w:p>
    <w:p>
      <w:r>
        <w:t>GE Cour de justice, 2016-09-21, FR</w:t>
      </w:r>
    </w:p>
    <w:p>
      <w:r>
        <w:rPr>
          <w:b/>
        </w:rPr>
        <w:t xml:space="preserve">Quelle: </w:t>
      </w:r>
      <w:r>
        <w:t>https://mcp.opencaselaw.ch/entscheid/ge_gerichte_ACJC_1236_2016</w:t>
      </w:r>
    </w:p>
    <w:p>
      <w:r>
        <w:t>FR: GE_GERICHTE ACJC/1236/2016 du 21 septembre 2016</w:t>
      </w:r>
    </w:p>
    <w:p>
      <w:r>
        <w:t>IT: GE_GERICHTE ACJC/1236/2016 del 21 settembre 2016</w:t>
      </w:r>
    </w:p>
    <w:p>
      <w:pPr>
        <w:pStyle w:val="Heading2"/>
      </w:pPr>
      <w:r>
        <w:t>Erwägungen</w:t>
      </w:r>
    </w:p>
    <w:p>
      <w:r>
        <w:rPr>
          <w:b/>
        </w:rPr>
        <w:t>E. 19</w:t>
      </w:r>
    </w:p>
    <w:p>
      <w:r>
        <w:t>janvier 2004 consid. 2.2 dont la teneur reste applicable sous le CPC [JEANDIN, op. cit., n. 2 ad art. 311 CPC; TAPPY, in CPC, Code de Procédure civile commenté, 2011, n. 11 ad art. 221 CPC]); Que l'interdiction du formalisme excessif commande d'entrer exceptionnellement en matière sur un appel formellement dépourvu de conclusions, si ce que demande l'appelant résulte de sa motivation, cas échéant en relation avec le jugement attaqué (ATF 137 III 617 consid. 6.2);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l'acte d'appel comporte des conclusions; Que l'appelante explique pour quelles raisons, selon elle, les premiers juges ont procédé à une appréciation arbitraire des faits, s'agissant du respect des facilités de paiement accordées par l'intimée;</w:t>
      </w:r>
    </w:p>
    <w:p>
      <w:r>
        <w:t>- 6/7 -</w:t>
      </w:r>
    </w:p>
    <w:p>
      <w:r>
        <w:t>C/25348/2015 Que l'appel respecte en conséquence les exigences de motivation susrappelées, de sorte qu'il est recevable; Qu'il en va de même du recours; Que l'appel et le recours seront traités dans la même décision (art. 125 CPC); Que, dans la mesure où l'appel suspend les effets de la décision, cette suspension s'étend également aux mesures d'exécution; Que, par ailleurs, l'intimée s'en est rapportée à justice s'agissant de l'effet suspensif; Qu'ainsi, la requête de restitution de l'effet suspensif est sans objet. * * * * *</w:t>
      </w:r>
    </w:p>
    <w:p>
      <w:r>
        <w:t>- 7/7 -</w:t>
      </w:r>
    </w:p>
    <w:p>
      <w:r>
        <w:t>C/25348/2015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