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ACJC/1235/2018 vom 24. August 2018</w:t>
      </w:r>
    </w:p>
    <w:p>
      <w:r>
        <w:t>GE Cour de justice, 2018-08-24, FR</w:t>
      </w:r>
    </w:p>
    <w:p>
      <w:r>
        <w:rPr>
          <w:b/>
        </w:rPr>
        <w:t xml:space="preserve">Quelle: </w:t>
      </w:r>
      <w:r>
        <w:t>https://mcp.opencaselaw.ch/entscheid/ge_gerichte_ACJC_1235_2018</w:t>
      </w:r>
    </w:p>
    <w:p>
      <w:r>
        <w:t>FR: GE_GERICHTE ACJC/1235/2018 du 24 août 2018</w:t>
      </w:r>
    </w:p>
    <w:p>
      <w:r>
        <w:t>IT: GE_GERICHTE ACJC/1235/2018 del 24 agosto 2018</w:t>
      </w:r>
    </w:p>
    <w:p>
      <w:pPr>
        <w:pStyle w:val="Heading2"/>
      </w:pPr>
      <w:r>
        <w:t>Volltext</w:t>
      </w:r>
    </w:p>
    <w:p>
      <w:r>
        <w:t>Le présent arrêt est communiqué aux parties par plis recommandés du 18.09.2018.</w:t>
      </w:r>
    </w:p>
    <w:p>
      <w:r>
        <w:t>REPUBLIQUE ET</w:t>
      </w:r>
    </w:p>
    <w:p>
      <w:r>
        <w:t>CANTON DE GENEVE POUVOIR JUDICIAIRE C/23896/2013 ACJC/1235/2018 ARRÊT DE LA COUR DE JUSTICE Chambre civile DU LUNDI 17 SEPTEMBRE 2018</w:t>
      </w:r>
    </w:p>
    <w:p>
      <w:r>
        <w:t>Entre Madame A______, domiciliée ______, appelante d'une ordonnance rendue par la 8ème Chambre du Tribunal de première instance de ce canton le 24 août 2018, comparant par Me Anne Reiser, avocate, rue De-Candolle 11, 1205 Genève, en l'étude de laquelle elle fait élection de domicile, et Monsieur B______, domicilié rue du 31-Décembre 8, 1207 Genève, intimé, comparant par Me Philippe Grumbach, avocat, rue Bovy-Lysberg 2, case postale 5824, 1211 Genève 11, en l'étude duquel il fait élection de domicile.</w:t>
      </w:r>
    </w:p>
    <w:p>
      <w:r>
        <w:t>- 2/4 -</w:t>
      </w:r>
    </w:p>
    <w:p>
      <w:r>
        <w:t>C/23896/2013 Attendu, EN FAIT, que par ordonnance du 24 août 2018, le Tribunal de première instance, statuant sur mesures provisionnelles, a ordonné la jonction des trois requêtes déposées par A______ les 22 et 29 décembre 2017 et 22 février 2018 (ch. 1 du dispositif), révoqué les ordonnances sur mesures superprovisionnelles du Tribunal des 28 et 29 décembre 2017 et 23 février 2018 (ch. 2), ordonné la saisie d'un montant de 50'000 fr. sur le compte n° 1______ ouvert auprès de la banque C______ SA, au nom de B______, et ce jusqu'au prononcé définitif et exécutoire du jugement de divorce dans la présente cause (ch. 3), ordonné la saisie d'un montant de 600'000 fr. sur le compte n° 2______, ouvert auprès de la banque C______ SA, au nom de la société D______ SA, ce jusqu'au prononcé définitif et exécutoire du jugement de divorce dans la présente cause (ch. 4), fait interdiction à B______ d'aliéner ou de disposer de toute autre manière ou de grever de droits réels ou personnels les actions en sa possession et/ou les participations des sociétés D______ SA, E______ Sàrl et F______ SA, et ce jusqu'au prononcé définitif et exécutoire du jugement de divorce dans la présente cause (ch. 5), fait interdiction à B______ de disposer de ses avoirs de libre passage déposés sur le compte n° 3______ ouvert auprès de la Fondation de libre passage de C______, au nom de B______, sans l'accord préalable de A______, et ce jusqu'au prononcé définitif et exécutoire du jugement de divorce dans la présente cause (ch. 6), réservé sa décision finale quant au sort des frais judiciaires (ch. 7), dit qu'il n'était pas alloué de dépens (ch. 8) et débouté les parties de toutes autres ou contraires conclusions (ch. 9); Que par acte déposé au greffe de la Cour le 31 août 2018, A______ a formé appel contre cette ordonnance, concluant à l'annulation des ch. 3, 4, 7 et 8 de son dispositif et cela fait, sollicité, en substance, que différents avoirs de B______, de E______ Sàrl et de D______ SA soient bloqués et qu'il leur soit fait interdiction d'en disposer d'une quelconque manière; Qu'elle a conclu, préalablement, à l'octroi de l'effet suspensif à son appel; qu'elle a fait valoir à cet égard que la mesure de blocage avait été en vigueur depuis huit mois sans que cela ne semble poser de problème à B______; sans effet suspensif, la procédure n'aurait plus de sens puisque ce dernier pourrait faire disparaître ses biens avant un nouveau blocage; sa créance découlant de la liquidation du régime matrimonial ne pourrait être satisfaite et son préjudice serait irréparable; Qu'invité à se déterminer, B______ a conclu au rejet de la requête d'effet suspensif; qu'il a allégué que le blocage prévu par l'ordonnance dont est appel était déjà important, ce que son épouse passait sous silence, laissant croire qu'il pouvait librement disposer de ses biens, ce qui n'était pas le cas; il collaborait à la procédure et avait donné une information complète sur ses avoirs; son installation au Panama n'était plus d'actualité; Considérant, EN DROIT, que la Cour est saisie d'un appel au sens de l'art. 308 CPC; Que le jugement querellé portant sur des mesures provisionnelles, l'appel n'a pas d'effet suspensif ex lege (art. 315 al. 4 let. b CPC);</w:t>
      </w:r>
    </w:p>
    <w:p>
      <w:r>
        <w:t>- 3/4 -</w:t>
      </w:r>
    </w:p>
    <w:p>
      <w:r>
        <w:t>C/23896/2013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prima facie, que l'appel est manifestement dénué de toute chance de succès, le Tribunal ayant considéré qu'une mise en danger sérieuse et imminente des prétentions de l'appelante avait été rendue vraisemblable, la portée des mesures prononcées n'étant limitée que sur la base du principe de proportionnalité qui laisse une grande marge d'appréciation dans son application; Que l'intimé indique avoir renoncé à son projet de s'installer au Panama, décision sur laquelle il pourrait cependant revenir, ayant indiqué que c'étaient les mesures prononcées qui l'en avaient empêché, et une telle installation pourrait rendre aléatoire le recouvrement des montants qui seraient dus et dont l'intimé refuserait de s'acquitter; Que la durée de la présente procédure d'appel, soumise à la procédure sommaire, devrait vraisemblablement être relativement brève; Que l'intimé a certes allégué que le blocage dont il faisait l'objet jusqu'à ce que soit rendue l'ordonnance attaquée lui avait causé des difficultés, sans qu'il allègue cependant que ce blocage lui causait un préjudice qui pourrait être qualifié de difficilement réparable; Qu'en définitive, au vu de ce qui précède, la requête tendant à suspendre le caractère exécutoire de l'ordonnance attaquée sera admise, en ce sens que les mesures superprovisionnelles précédemment admises resteront en vigueur jusqu'à droit jugé sur le présent appel; Qu'il sera statué sur les frais et dépens liés à la présente décision avec la décision au fond (art. 104 al. 3 CPC). * * * * * *</w:t>
      </w:r>
    </w:p>
    <w:p>
      <w:r>
        <w:t>- 4/4 -</w:t>
      </w:r>
    </w:p>
    <w:p>
      <w:r>
        <w:t>C/23896/2013 PAR CES MOTIFS, La Chambre civile : Statuant sur requête de suspension du caractère exécutoire de l'ordonnance entreprise : Admet la requête formée par A______ tendant à suspendre le caractère exécutoire de l'ordonnance OTPI/525/2018 rendue le 24 août 2018 par le Tribunal de première instance dans la cause C/23896/2013-8 en ce sens que les ordonnances sur mesures superprovisionnelles du Tribunal des 28 et 29 décembre 2017 ainsi que 23 février 2018 restent en vigueur jusqu'à droit jugé sur l'appel formé contre l'ordonnance OTPI/525/2018.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