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ACJC/1230/2020 vom 8. September 2020</w:t>
      </w:r>
    </w:p>
    <w:p>
      <w:r>
        <w:t>GE Cour de justice, 2020-09-08, FR</w:t>
      </w:r>
    </w:p>
    <w:p>
      <w:r>
        <w:rPr>
          <w:b/>
        </w:rPr>
        <w:t xml:space="preserve">Quelle: </w:t>
      </w:r>
      <w:r>
        <w:t>https://mcp.opencaselaw.ch/entscheid/ge_gerichte_ACJC_1230_2020</w:t>
      </w:r>
    </w:p>
    <w:p>
      <w:r>
        <w:t>FR: GE_GERICHTE ACJC/1230/2020 du 8 septembre 2020</w:t>
      </w:r>
    </w:p>
    <w:p>
      <w:r>
        <w:t>IT: GE_GERICHTE ACJC/1230/2020 del 8 settembre 2020</w:t>
      </w:r>
    </w:p>
    <w:p>
      <w:pPr>
        <w:pStyle w:val="Heading2"/>
      </w:pPr>
      <w:r>
        <w:t>Erwägungen</w:t>
      </w:r>
    </w:p>
    <w:p>
      <w:r>
        <w:rPr>
          <w:b/>
        </w:rPr>
        <w:t>E. 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En l'espèce, la Cour ne se trouve pas saisie d'une nouvelle procédure, mais reprend la précédente, qui n'est pas close, faute de décision finale sur les frais et dépens des deux instances cantonales. Le renvoi porte sur les frais judiciaires et dépens de la procédure cantonale en tant qu'elle a opposé l'appelante à la banque intimée (ch. 2 à 4 du dispositif du jugement du Tribunal de première instance du 27 septembre 2017 et partie intitulée "Sur les frais" de l'arrêt de la Cour du 5 juillet 2018). Il convient donc de statuer à nouveau sur ces points uniquement. Le jugement du Tribunal de première instance du 27 septembre 2017 n'a pas été critiqué devant la Cour en tant qu'il statuait sur l'appel en cause de la banque intimée, notamment sur les frais de l'appel en cause (ch. 7 et 8 du dispositif). Ces points sont donc entrés en force.</w:t>
      </w:r>
    </w:p>
    <w:p>
      <w:r>
        <w:rPr>
          <w:b/>
        </w:rPr>
        <w:t>E. 2.1</w:t>
      </w:r>
    </w:p>
    <w:p>
      <w:r>
        <w:t>Les frais comprennent les frais judiciaires - incluant les émoluments forfaitaires de conciliation et de décision, ainsi que les frais d'administration des preuves (art. 95 al. 2 let. a à c CPC) - et les dépens, les cantons en fixant le tarif (art. 95 al. 1 et 96 CPC). Les frais judiciaires sont fixés et répartis d'office (art. 105 al. 1 CPC), alors que les dépens ne sont pas alloués d'office (ATF 139 III 334 consid. 4.2). Les frais sont mis à la charge de la partie succombante (art. 106 al. 1 CPC). Lorsqu'aucune des parties n'obtient gain de cause, les frais sont répartis selon le sort de la cause (art. 106 al. 2 CPC).</w:t>
      </w:r>
    </w:p>
    <w:p>
      <w:r>
        <w:t>L'émolument forfaitaire de conciliation est de 200 fr. lorsque la valeur litigieuse dépasse 30'000 fr. (art. 15 RTFMC). Devant le Tribunal et en procédure ordinaire, l'émolument forfaitaire de décision est fixé entre 100'000 fr. et 200'000 fr. lorsque la valeur litigieuse dépasse 10'000'000 fr. (art. 17 RTFMC). En cas d'appel contre une décision finale, l'émolument est calculé selon les dispositions applicables aux procédures de première instance (art. 35 RTFMC).</w:t>
      </w:r>
    </w:p>
    <w:p>
      <w:r>
        <w:t>Dans les contestations portant sur des affaires pécuniaires, le défraiement d'un représentant professionnel est, en règle générale, proportionnel à la valeur litigieuse. Il est fixé, dans les limites figurant dans un règlement du Conseil d'Etat,</w:t>
      </w:r>
    </w:p>
    <w:p>
      <w:r>
        <w:t>- 5/7 -</w:t>
      </w:r>
    </w:p>
    <w:p>
      <w:r>
        <w:t>C/6670/2013 d'après l'importance de la cause, ses difficultés, l'ampleur du travail et le temps employé (art. 20 al. 1 LaCC). L'art. 84 RTFMC reprend ces critères. Selon l'art. 85 RTFMC, au-delà d'une valeur litigieuse de 10'000'000 fr., le défraiement est généralement de 106'400 fr. plus 0.5% de la valeur litigieuse dépassant 4'000'000 fr.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2.2</w:t>
      </w:r>
    </w:p>
    <w:p>
      <w:r>
        <w:t>En l'espèce, l'appelante obtient finalement gain de cause sur ses conclusions, à l'exception de la somme de 1'000'000 euros, soit à concurrence d'environ 90%. L'appelante admet d'ailleurs, sans être contredite par la banque, qui s'en rapporte à justice, que le 10% des frais judiciaires et des dépens des deux instances cantonales doit être mis à sa charge. C'est d'ailleurs approximativement la proportion qui a été appliquée par le Tribunal fédéral.</w:t>
      </w:r>
    </w:p>
    <w:p>
      <w:r>
        <w:t>Par ailleurs, la quotité des frais judiciaires et dépens des deux instances, conforme aux principes ci-dessus, n'est à juste titre pas critiquée par les parties.</w:t>
      </w:r>
    </w:p>
    <w:p>
      <w:r>
        <w:rPr>
          <w:b/>
        </w:rPr>
        <w:t>E. 2.2.1</w:t>
      </w:r>
    </w:p>
    <w:p>
      <w:r>
        <w:t>Ainsi, les frais judiciaires de première instance relatifs à la demande principale, arrêtés à 151'200 fr., seront mis à la charge de la banque intimée à concurrence de 136'080 fr. et de 15'120 fr. à charge de l'appelante. Ils seront compensés avec les avances effectuées par les parties, soit 150'400 fr. par l'appelante et 800 fr. par la banque intimée, avances qui demeurent acquises à l'Etat de Genève (art. 111 al. 1 CPC). La banque intimée versera donc à l'appelante 135'280 fr. (150'400 fr. - 15'120 fr.; art. 111 al. 2 CPC).</w:t>
      </w:r>
    </w:p>
    <w:p>
      <w:r>
        <w:t>Les dépens de première instance relatifs à la demande principale, fixés à 138'000 fr., seront répartis selon la même proportion, soit 124'200 fr., débours et TVA compris, à charge de la banque intimée. Dans ses conclusions après renvoi, celle-ci ne réclame pas de dépens de première instance, mais s'en rapporte à justice, de sorte qu'il n'y a pas lieu de lui en allouer. Le Tribunal fédéral n'a pas modifié l'arrêt de la Cour du 5 juillet 2018, en tant qu'il confirmait les chiffres 6 à 8 du dispositif du jugement du Tribunal de première instance du 27 septembre 2017. Par souci de clarté, les chiffres 7 et 8 du dispositif du jugement du Tribunal du 27 septembre 2017, statuant sur les frais relatifs à l'appel en cause, seront néanmoins confirmés.</w:t>
      </w:r>
    </w:p>
    <w:p>
      <w:r>
        <w:rPr>
          <w:b/>
        </w:rPr>
        <w:t>E. 2.2.2</w:t>
      </w:r>
    </w:p>
    <w:p>
      <w:r>
        <w:t>Les frais judiciaires d'appel, arrêtés à 150'000 fr., seront mis à hauteur de 135'000 fr. à charge de la banque intimée et de 15'000 fr. à charge de l'appelante et compensés avec l'avance fournie par cette dernière, laquelle demeure acquise à l'Etat de Genève. La banque intimée restituera à l'appelante 135'000 fr.</w:t>
      </w:r>
    </w:p>
    <w:p>
      <w:r>
        <w:t>- 6/7 -</w:t>
      </w:r>
    </w:p>
    <w:p>
      <w:r>
        <w:t>C/6670/2013</w:t>
      </w:r>
    </w:p>
    <w:p>
      <w:r>
        <w:t>Les dépens d'appel, fixés à 50'000 fr., seront mis à la charge de la banque intimée à concurrence de 45'000 fr., débours et TVA compris. Dans ses conclusions après renvoi, celle-ci ne réclame pas de dépens d'appel, mais s'en rapporte à justice, de sorte qu'il n'y a pas lieu de lui en allouer.</w:t>
      </w:r>
    </w:p>
    <w:p>
      <w:r>
        <w:rPr>
          <w:b/>
        </w:rPr>
        <w:t>E. 2.2.3</w:t>
      </w:r>
    </w:p>
    <w:p>
      <w:r>
        <w:t>Il n'y a pas lieu à allocation de dépens pour la rédaction des déterminations après renvoi du Tribunal fédéral, l'appelante n'en demandant d'ailleurs pas. De même, il ne sera pas perçu d'émolument pour la procédure sur renvoi.</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lesquelles en l'espèce dépassent 30'000 fr. * * * * *</w:t>
      </w:r>
    </w:p>
    <w:p>
      <w:r>
        <w:t>- 7/7 -</w:t>
      </w:r>
    </w:p>
    <w:p>
      <w:r>
        <w:t>C/6670/2013 PAR CES MOTIFS, La Chambre civile : Statuant sur renvoi du Tribunal fédéral sur les frais des instances cantonales : Arrête les frais judiciaires des deux instances à 301'200 fr., les met à la charge de B______ à concurrence de 271'080 fr. et de A______ à concurrence de 30'120 fr. et les compense avec les avances effectuées par les parties, qui demeurent acquises à l'Etat de Genève. Condamne B______ à verser à A______ la somme de 270'280 fr. à titre de remboursement partiel des avances effectuées. Condamne B______ à verser à A______ la somme de 169'200 fr. à titre de dépens des deux instances.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