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ACJC/1230/2014 vom 16. Oktober 2014</w:t>
      </w:r>
    </w:p>
    <w:p>
      <w:r>
        <w:t>GE Cour de justice, 2014-10-16, FR</w:t>
      </w:r>
    </w:p>
    <w:p>
      <w:r>
        <w:rPr>
          <w:b/>
        </w:rPr>
        <w:t xml:space="preserve">Quelle: </w:t>
      </w:r>
      <w:r>
        <w:t>https://mcp.opencaselaw.ch/entscheid/ge_gerichte_ACJC_1230_2014</w:t>
      </w:r>
    </w:p>
    <w:p>
      <w:r>
        <w:t>FR: GE_GERICHTE ACJC/1230/2014 du 16 octobre 2014</w:t>
      </w:r>
    </w:p>
    <w:p>
      <w:r>
        <w:t>IT: GE_GERICHTE ACJC/1230/2014 del 16 ottobre 2014</w:t>
      </w:r>
    </w:p>
    <w:p>
      <w:pPr>
        <w:pStyle w:val="Heading2"/>
      </w:pPr>
      <w:r>
        <w:t>Erwägungen</w:t>
      </w:r>
    </w:p>
    <w:p>
      <w:r>
        <w:rPr>
          <w:b/>
        </w:rPr>
        <w:t>E. 1.1</w:t>
      </w:r>
    </w:p>
    <w:p>
      <w:r>
        <w:t>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w:t>
      </w:r>
    </w:p>
    <w:p>
      <w:r>
        <w:t>- 6/11 -</w:t>
      </w:r>
    </w:p>
    <w:p>
      <w:r>
        <w:t>C/6762/2013 prononcée dans une affaire patrimoniale dont la valeur litigieuse, au dernier état des conclusions de première instance, est de 10'000 fr. au moins (art. 308 al. 2 CPC), compte tenu du montant de la contribution d'entretien dont la suppression était requise (1'500 fr. x 12 mois x 20 ans, art. 92 al. 2 CPC) et de l'avis au débiteurs qui était sollicité (ATF 137 III 193).</w:t>
      </w:r>
    </w:p>
    <w:p>
      <w:r>
        <w:rPr>
          <w:b/>
        </w:rPr>
        <w:t>E. 1.2</w:t>
      </w:r>
    </w:p>
    <w:p>
      <w:r>
        <w:t>La Chambre de céans revoit la cause avec un plein pouvoir d'examen (art. 310 CPC). Les mesures provisionnelles querellées étant soumises à la procédure sommaire au sens propre (art. 248 let. d, 271 let. a et 276 al. 1 CPC; HOHL, Procédure civile, Tome II, 2ème éd., 2010, n. 1957, p. 359), sa cognition est toutefois limitée en cette matière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w:t>
      </w:r>
    </w:p>
    <w:p>
      <w:r>
        <w:rPr>
          <w:b/>
        </w:rPr>
        <w:t>E. 1.3</w:t>
      </w:r>
    </w:p>
    <w:p>
      <w:r>
        <w:t>La présente procédure, qui porte sur la contribution à l'entretien de l'ex- conjoint, est soumise à la maxime des débats atténuée (art. 277 CPC par renvoi de l'art. 284 al. 3 CPC).</w:t>
      </w:r>
    </w:p>
    <w:p>
      <w:r>
        <w:rPr>
          <w:b/>
        </w:rPr>
        <w:t>E. 2</w:t>
      </w:r>
    </w:p>
    <w:p>
      <w:r>
        <w:t>L'appelant a déposé des pièces nouvelles en seconde instance, tant en annexe de son acte d'appel qu'en annexe de sa réplique, pièces dont la recevabilité est examinée d'office (REETZ/HILBER, Kommentar zur Schweizerischen Zivilprozessordnung, 2010, n. 26 zu 317).</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Compte tenu de la maxime applicable à la présente espèce, cette règle s'applique sans restriction ici (ATF 138 III 625 consid. 2.2; arrêt du Tribunal fédéral 4A_310/2012 du 1er octobre 2012 consid. 2.1 et 2.2).</w:t>
      </w:r>
    </w:p>
    <w:p>
      <w:r>
        <w:rPr>
          <w:b/>
        </w:rPr>
        <w:t>E. 2.2</w:t>
      </w:r>
    </w:p>
    <w:p>
      <w:r>
        <w:t>En l'espèce, en ce qui concerne le bordereau de pièces du 14 avril 2014, la pièce 2 est relative à un arrangement conclu avec l'administration fiscale le 1er octobre 2013, arrangement qui aurait pu être déposé à l'audience du 15 octobre 2013 devant le premier juge. Elle est, partant, irrecevable. Est également irrecevable, en tant qu'elle concerne une période antérieure à la clôture des débats devant le premier juge, la liste des frais médicaux non couverts produite sous pièce 3d. Sont en revanche nouvelles, partant, recevables, les pièces 3a, 3b, 3c, 4, 5). Il en est de même des 3 pièces produites le 10 juin 2014.</w:t>
      </w:r>
    </w:p>
    <w:p>
      <w:r>
        <w:rPr>
          <w:b/>
        </w:rPr>
        <w:t>E. 3</w:t>
      </w:r>
    </w:p>
    <w:p>
      <w:r>
        <w:t>Le Tribunal a avec raison admis sa compétence ratione loci pour statuer sur la demande, en tant que celle-ci a trait à la modification d'un jugement de divorce prononcé à Genève (art. 64 al. 1 LDIP).</w:t>
      </w:r>
    </w:p>
    <w:p>
      <w:r>
        <w:t>- 7/11 -</w:t>
      </w:r>
    </w:p>
    <w:p>
      <w:r>
        <w:t>C/6762/2013</w:t>
      </w:r>
    </w:p>
    <w:p>
      <w:r>
        <w:rPr>
          <w:b/>
        </w:rPr>
        <w:t>E. 4</w:t>
      </w:r>
    </w:p>
    <w:p>
      <w:r>
        <w:t>Sur mesures provisionnelles, l'appelant sollicite que le versement de la contribution due à l'entretien de l'intimée en applicable de l'art. 125 CC soit "suspendue" jusqu'à droit jugé sur le fond.</w:t>
      </w:r>
    </w:p>
    <w:p>
      <w:r>
        <w:rPr>
          <w:b/>
        </w:rPr>
        <w:t>E. 4.1</w:t>
      </w:r>
    </w:p>
    <w:p>
      <w:r>
        <w:t>La modification ou la suppression de la contribution d'entretien due à l'ex- 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131 III 189 consid. 2.7.4; arrêt du Tribunal fédéral 5A_332/2013 du 18 septembre 2013 consid. 3.1).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 arrêt du Tribunal fédéral 5A_760/2012 du 27 février 2013 consid. 5.1.1 et les références citées). Une réduction ou une suppression de contributions d'entretien par voie de mesures provisionnelles, dans le cadre d'une action en modification du jugement de divorce, n'est toutefois justifiée qu'en cas d'urgence et en présence de circonstances particulières (ATF 118 II 228 consid. 3b, arrêts du Tribunal fédéral 5A_732/2012 du 4 décembre 2012 consid. 3.2 et 5P.203/2000 du 20 juillet 2000 consid. 3). Sur requête de mesures provisionnelles, tant en première instance qu'en appel, un changement notable et durable de situation du débiteur ou du créancier ne peut ainsi justifier une modification ou suppression provisoire de la contribution d'entretien fixée que s'il apparaît extraordinaire et suffisamment établi et qu'il appelle au surplus sa prise en considération urgente.</w:t>
      </w:r>
    </w:p>
    <w:p>
      <w:r>
        <w:rPr>
          <w:b/>
        </w:rPr>
        <w:t>E. 4.2</w:t>
      </w:r>
    </w:p>
    <w:p>
      <w:r>
        <w:t>En l'espèce, l'urgence à prononcer des mesures provisionnelles n'est pas établie et l'issue favorable à l'appelant de la présente procédure en modification ne peut être tenue pour hautement vraisemblable, même si l'intimée admet que les revenus de l'appelant ont diminué de 2'500 fr. depuis le prononcé du divorce, en raison de la cessation de versement de la rente du 3ème pilier depuis décembre 2013. En effet, ainsi que le relève l'arrêt du 22 mai 2014 sur suspension de l'effet exécutoire attaché au jugement entrepris, le paiement de la contribution d'entretien dont la suppression est requise n'entame pas le minimum vital élargi de l'appelant, même si l'on tient compte de l'ajustement jurisprudentiel de 20%, étant rappelé que celui-ci, selon le dernier état de la jurisprudence, ne porte que sur le montant de base et non sur l'ensemble des charges (ATF 129 III 385 consid. 5.2.2; arrêts 5C.237/2006 du 10 janvier 2007; 5C.238/2000 du 8 décembre 2000 consid. 3 non publié aux ATF 127 II 65; 5A_673/2011 du 11 avril 2012 consid. 2.3.1).</w:t>
      </w:r>
    </w:p>
    <w:p>
      <w:r>
        <w:t>- 8/11 -</w:t>
      </w:r>
    </w:p>
    <w:p>
      <w:r>
        <w:t>C/6762/2013 L'appelant ne rend en effet pas vraisemblable, en l'état du dossier soumis à la Cour, que son épouse actuelle est dans l'incapacité de contribuer aux charges du ménage, le simple fait qu'elle soit d'origine russe ne permettant pas encore de conclure, avec une vraisemblance suffisante, qu'elle ne pourrait pas occuper un emploi. De ce point de vue et le remariage de l'appelant datant de janvier 2012, il faut retenir, au stade de la vraisemblance, que son épouse actuelle a eu la possibilité, avant l'introduction de la présente action, de suivre des cours de français lui permettant d'occuper un emploi non qualifié; il est par ailleurs notoire qu'une importante communauté russe réside à Genève, ce qui est propre à lui permettre d'utiliser également sa langue maternelle dans un emploi de telle nature. La question devra faire l'objet d'une instruction sur le fond. Par ailleurs, l'appelant ne saurait ni opposer à l'intimée les dettes envers le fisc et envers les assurances sociales qu'il a accumulées postérieurement au prononcé du divorce ni se prévaloir du fait qu'il ferait l'objet de poursuites en recouvrement de l'indemnité équitable et/ou de la contribution post-divorce. A cela s'ajoute qu'il ne justifie par pièces ni du paiement de son arriéré fiscal, ni de ses impôts courants. Ces derniers sont d'ailleurs vraisemblablement moins élevés que ceux qu'il allègue, compte tenu de son remariage en janvier 2012 et de la diminution de son revenu depuis décembre 2013.</w:t>
      </w:r>
    </w:p>
    <w:p>
      <w:r>
        <w:t>La requête de mesures provisionnelles a ainsi été rejetée à juste titre, ce qui conduit à la confirmation du jugement attaqué sur ce point.</w:t>
      </w:r>
    </w:p>
    <w:p>
      <w:r>
        <w:rPr>
          <w:b/>
        </w:rPr>
        <w:t>E. 5</w:t>
      </w:r>
    </w:p>
    <w:p>
      <w:r>
        <w:t>L'appel porte également sur l'avis aux débiteurs.</w:t>
      </w:r>
    </w:p>
    <w:p>
      <w:r>
        <w:rPr>
          <w:b/>
        </w:rPr>
        <w:t>E. 5.1</w:t>
      </w:r>
    </w:p>
    <w:p>
      <w:r>
        <w:t>L'avis aux débiteurs, prononcé par voie de procédure sommaire, sur la base du jugement de divorce, est fondé sur l'art. 132 al. 1 CC, dont le contenu reprend celui de l'art. 291 CC ou de l'art. 177 CC. Lorsque le débiteur ne satisfait pas à son obligation d’entretien, le juge peut ordonner à ses débiteurs d’opérer tout ou partie de leurs paiements entre les mains du créancier (art. 132 al. 1 CC; art. 291 et 177 CC). Pour qu'un tel avis - dont l'objectif est de permettre l'encaissement ponctuel et régulier des sommes destinées à l'entretien du crédirentier et de sa famille (arrêt du Tribunal fédéral 5P.75/2004 du 26 mai 2004) puisse déployer ses effets, il faut que le débiteur d'aliments ne respecte pas ses obligations, que le créancier d'aliments soit au bénéfice d'un titre exécutoire, qu'il requiert une telle mesure du juge compétent, que le débiteur d'aliments soit créancier d'un tiers et enfin que le minimum vital du débiteur, établi en s'inspirant des normes du droit des poursuites soit respecté (ATF 123 III 1; ATF 110 II 9 consid. 4b; RFJ 1998 318,320; BASTONS BULLETTI, Commentaire romans du CC I, n. 9 ad art. 291 CC; TSCHUMY, Les contributions d'entretien et l'exécution forcée. Deux cas d'application, l'avis du débiteur et la participation privilégiée à la saisie, in JdT 2006 II 17 et ss).</w:t>
      </w:r>
    </w:p>
    <w:p>
      <w:r>
        <w:t>- 9/11 -</w:t>
      </w:r>
    </w:p>
    <w:p>
      <w:r>
        <w:t>C/6762/2013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5A_236/2011 du 18 octobre 2011 consid. 5.3 et références citées). Des indices en ce sens sont suffisants s'ils reposent sur des circonstances concrètes, telles que les déclarations d'une partie en justice ou son désintérêt de la procédure; le juge dispose d'un large pouvoir d'appréciation (arrêt du Tribunal fédéral 5A_464/2012 du 30 novembre 2012 consid. 5.3; CHAIX, in Commentaire romand, CC I, 2010, n. 9 ad art. 11 CC). La notion de faute ne joue aucun rôle (arrêt du Tribunal fédéral 5A_464/2012 du 30 novembre 2012 consid. 5.4). L'avis aux débiteurs, mesure d'exécution forcée privilégiée sui generis, connexe au droit civil (ATF 137 III 193, SJ 2012 I 68; 134 III 667 consid. 1.1; 130 III 489 consid. 1), est enfin limité aux pensions alimentaires courantes et futures (arrêt du Tribunal fédéral 5P.75/2004 du 26 mai 2004 consid. 3).</w:t>
      </w:r>
    </w:p>
    <w:p>
      <w:r>
        <w:rPr>
          <w:b/>
        </w:rPr>
        <w:t>E. 5.2</w:t>
      </w:r>
    </w:p>
    <w:p>
      <w:r>
        <w:t>En l'espèce, l'appelant ne conteste pas avoir accumulé du retard dans le paiement de la contribution post-divorce due à l'intimée et ne s'en être acquitté (partiellement, selon l'intimée) qu'après dépôt de poursuites et/ou de plaintes pénales. Il ne justifie pas par pièces de son allégué, selon lequel il serait "à jour" dans le versement de cette contribution. De ce point de vue, le prononcé d'un avis aux débiteurs est fondé. L'appelant fait en outre valoir que son minimum vital est atteint. A teneur des normes d'insaisissabilité genevoises 2014 (RSge E.60.04), le minimum insaisissable de l'appelant s'établit comme suit: ½ entretien de base pour un couple (850 fr.); ½ loyer (443 fr. 50); assurance-maladie (477 fr. 25); frais médicaux non couverts (77 fr. 85); frais de transport (70 fr., l'appelant ne justifiant pas avoir besoin d'un véhicule automobile); assurance-ménage (53 fr.); impôts (0 fr., cf. ATF 126 III 89; arrêt du Tribunal fédéral A_890/2013 du 22 mai 2014, consi. 5.2, arrêt destiné à la publication); frais villa Anthy (329 fr. 90), d'où un total de 2'271 fr. 50 ou de 3'565 fr. si l'on tient compte de l'entretien de base pour un couple et du loyer dans leur intégralité. Le grief n'est dès lors pas fondé, même si l'on ajoute au montant ci-dessus, à l'instar du premier juge, le remboursement des cotisations AVS/AI/Chômage en 247 fr. 05. L'appelant fait enfin valoir que la mesure est "particulièrement incisive" au regard du fait que l'intimée occupe la résidence propriété des époux et refuse de la</w:t>
      </w:r>
    </w:p>
    <w:p>
      <w:r>
        <w:t>- 10/11 -</w:t>
      </w:r>
    </w:p>
    <w:p>
      <w:r>
        <w:t>C/6762/2013 quitter, alors qu'il s'acquitte de l'intégralité des charges fixes liées à celle-ci. Le fait de réclamer une telle mesure, compte tenu des carences de paiement de l'appelant, ne peut cependant être considéré comme un abus de droit manifeste, ce d'autant plus que le montant des charges liées à la villa occupée par l'intimée et dont l'appelant se prévaut (329 fr. 90) est de loin inférieur à la contribution post- divorce dont il doit s'acquitter.</w:t>
      </w:r>
    </w:p>
    <w:p>
      <w:r>
        <w:rPr>
          <w:b/>
        </w:rPr>
        <w:t>E. 6</w:t>
      </w:r>
    </w:p>
    <w:p>
      <w:r>
        <w:t>Les considérants qui précèdent conduisent à la confirmation du jugement querellé. Les frais de la procédure d'appel, arrêtés à 1'000 fr. y compris la procédure sur effet suspensif, sont mis à la charge de l'appelant, qui succombe (art. 106 CPC). Ils sont entièrement couverts par l'avance versée par ce dernier, laquelle est acquise à l'Etat. La nature familiale du litige inspire à la Cour de ne pas allouer de dépens (art. 107 al. 1 let. c CPC). * * * * *</w:t>
      </w:r>
    </w:p>
    <w:p>
      <w:r>
        <w:t>- 11/11 -</w:t>
      </w:r>
    </w:p>
    <w:p>
      <w:r>
        <w:t>C/6762/2013 PAR CES MOTIFS, La Chambre civile : A la forme : Déclare recevable l'appel interjeté par A______ contre les chiffres 5, 6, 7 et 10 du dispositif du jugement JTPI/4460/2014 rendu le 1er avril 2014 par le Tribunal de première instance dans la cause C/6762/2013-4. Au fond : Confirme ce jugement. Déboute les parties de toutes autres conclusions. Sur les frais : Arrête les frais d'appel, y inclus ceux de l'incident relatif à la suspension de l'effet exécutoire attaché au jugement attaqué, à 1'000 fr., les met à la charge de A______ et dit que l'avance de frais versée par ce dernier est acquise à l'Etat. Dit qu'il n'y pas lieu d'allouer des dépens. Siégeant : Monsieur Cédric-Laurent MICHEL, président; Madame Fabienne GEISINGER- MARIÉTHOZ, juge, et Madame Marguerite JACOT-DES-COMBES, juge suppléante; Madame Nathalie DESCHAMPS, greffière. Le président : Cédric-Laurent MICHEL</w:t>
      </w:r>
    </w:p>
    <w:p>
      <w:r>
        <w:t>La greffière : Nathalie DESCHAMPS</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griefs étant limités (art. 98 LTF) en tant qu'il statué sur mesures provisionnelles.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