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ACJC/1226/2015 vom 16. Oktober 2015</w:t>
      </w:r>
    </w:p>
    <w:p>
      <w:r>
        <w:t>GE Cour de justice, 2015-10-16, FR</w:t>
      </w:r>
    </w:p>
    <w:p>
      <w:r>
        <w:rPr>
          <w:b/>
        </w:rPr>
        <w:t xml:space="preserve">Quelle: </w:t>
      </w:r>
      <w:r>
        <w:t>https://mcp.opencaselaw.ch/entscheid/ge_gerichte_ACJC_1226_2015</w:t>
      </w:r>
    </w:p>
    <w:p>
      <w:r>
        <w:t>FR: GE_GERICHTE ACJC/1226/2015 du 16 octobre 2015</w:t>
      </w:r>
    </w:p>
    <w:p>
      <w:r>
        <w:t>IT: GE_GERICHTE ACJC/1226/2015 del 16 ottobre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La recourante a contesté la recevabilité de la duplique de l'intimée, qui serait tardive. L'avis informant l'intimée de son droit de dupliquer n'ayant pas été retiré à l'issue du délai de garde venant à échéance le 22 juillet 2015, la duplique adressée à la Cour le 7 août 2015 est en effet tardive. Cela étant, elle n'apporte aucun élément nouveau et n'est pas déterminante.</w:t>
      </w:r>
    </w:p>
    <w:p>
      <w:r>
        <w:rPr>
          <w:b/>
        </w:rPr>
        <w:t>E. 1.2</w:t>
      </w:r>
    </w:p>
    <w:p>
      <w:r>
        <w:t>Les conclusions, les allégations de fait et les preuves nouvelles sont irrecevables (art. 326 al. 1 CPC). Il s'ensuit que les allégués de fait nouveaux et les pièces nouvelles produites par les parties devant la Cour sont irrecevables.</w:t>
      </w:r>
    </w:p>
    <w:p>
      <w:r>
        <w:rPr>
          <w:b/>
        </w:rPr>
        <w:t>E. 1.3</w:t>
      </w:r>
    </w:p>
    <w:p>
      <w:r>
        <w:t>Le recours étant instruit en procédure sommaire, la maxime des débats s'applique et la preuve des faits allégués doit être apportée par titres (art. 55 al. 1, 255 let. a a contrario et 254 CPC).</w:t>
      </w:r>
    </w:p>
    <w:p>
      <w:r>
        <w:rPr>
          <w:b/>
        </w:rPr>
        <w:t>E. 2</w:t>
      </w:r>
    </w:p>
    <w:p>
      <w:r>
        <w:t>La recourante fait valoir que son engagement était conditionné à l'absence de paiement par les débitrices principales, ce qui ressortait de la requête de mainlevée qui indiquait qu'elle s'était portée garante du paiement d'un montant arrêté à 50'000 fr.</w:t>
      </w:r>
    </w:p>
    <w:p>
      <w:r>
        <w:t>- 5/7 -</w:t>
      </w:r>
    </w:p>
    <w:p>
      <w:r>
        <w:t>C/3130/2015</w:t>
      </w:r>
    </w:p>
    <w:p>
      <w:r>
        <w:rPr>
          <w:b/>
        </w:rPr>
        <w:t>E. 2.1</w:t>
      </w:r>
    </w:p>
    <w:p>
      <w:r>
        <w:t>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(cf. ATF 130 III 87 consid. 3.1 p. 88) –, d'où ressort sa volonté de payer au poursuivant, sans réserve ni condition, une somme d'argent déterminée, ou aisément déterminable, et exigible (ATF 136 III 624 consid. 4.2.2 p. 626, 627 consid. 2 p. 629). Conformément à l'art. 82 al. 2 LP, le poursuivi peut faire échec à la mainlevée en rendant immédiatement vraisemblable sa libération (ATF 96 I 4 consid. 2).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en principe par titre (art. 254 al. 1 CPC; arrêt du Tribunal fédéral 5A_878/2011 du 5 mars 2012 consid. 2.2).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139 III 444 consid. 4.1.1 et les références).</w:t>
      </w:r>
    </w:p>
    <w:p>
      <w:r>
        <w:rPr>
          <w:b/>
        </w:rPr>
        <w:t>E. 2.2</w:t>
      </w:r>
    </w:p>
    <w:p>
      <w:r>
        <w:t>En l'espèce, il ressort de l'accord du 6 mars 2010 que les parties ont convenu que le montant des honoraires de l'intimée à l'égard de la recourante était arrêté à 50'000 fr., ce qui ressort par ailleurs de la facture du 15 mars 2010 établie comme le prévoyait l'accord, laquelle précise expressément qu'elle concerne des travaux réalisés pour la recourante, et qu'elle est indépendante de celles concernant D______. Le texte de l'accord est clair et aucun élément ne permet de retenir qu'une interprétation littérale ne serait pas conforme à la volonté des parties et que la recourante se porterait uniquement garante des engagements d'un débiteur principal. Il doit donc être retenu que c'est bien le sort des dettes de la recourante que les parties entendaient régler par leur accord. L'intimée a certes indiqué dans sa requête de mainlevée que la recourante s'était porté « garante » du paiement d'un montant de 50'000 fr. Ce terme ne figure</w:t>
      </w:r>
    </w:p>
    <w:p>
      <w:r>
        <w:t>- 6/7 -</w:t>
      </w:r>
    </w:p>
    <w:p>
      <w:r>
        <w:t>C/3130/2015 toutefois pas dans l'accord, dont il ne ressort d'aucune manière que l'engagement de la recourante ne serait que subsidiaire. La recourante indique d'ailleurs elle- même que le caractère subsidiaire de son engagement ne ressort pas d'une interprétation littérale de l'accord, mais de la requête de mainlevée. L'imprécision du terme utilisé dans ladite requête par l'intimée, qui comparait en personne, n'est cependant pas déterminante, au vu des titres produits. Il doit dès lors être considéré que l'accord entre les parties vaut reconnaissance de dette. La recourante ne soutient pas avoir versé un quelconque montant en exécution de l'accord du 6 mars 2010. C'est dès lors à bon droit que le Tribunal a fait droit à la requête de mainlevée. Le recours, infondé, sera rejeté.</w:t>
      </w:r>
    </w:p>
    <w:p>
      <w:r>
        <w:rPr>
          <w:b/>
        </w:rPr>
        <w:t>E. 3</w:t>
      </w:r>
    </w:p>
    <w:p>
      <w:r>
        <w:t>La recourante, qui succombe, sera condamnée aux frais (art. 106 al. 1 et 3 CPC). L'émolument de la présente décision sera fixé à 600 fr. (art. 61 al. 1 OELP) et compensé avec l'avance de frais du même montant opérée, qui reste acquise à l'Etat (art. 111 al. 1 CPC). Il n'y a pas lieu d'allouer de dépens à l'intimée, qui comparait en personne. * * * * *</w:t>
      </w:r>
    </w:p>
    <w:p>
      <w:r>
        <w:t>- 7/7 -</w:t>
      </w:r>
    </w:p>
    <w:p>
      <w:r>
        <w:t>C/3130/2015 PAR CES MOTIFS, La Chambre civile : A la forme : Déclare recevable le recours interjeté par A______ SA contre le jugement JTPI/5908/2015 rendu le 18 mai 2015 par le Tribunal de première instance dans la cause C/3130/2015-JS SML. Au fond : Rejette ce recours. Déboute les parties de toutes autres conclusions. Sur les frais : Arrête les frais judiciaires du recours à 600 fr. et les met à la charge d'A______ SA. Compense les frais judiciaires du recours avec l'avance de frais fournie, qui reste acquise à l'Etat de Genève.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