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ACJC/1225/2017 vom 26. September 2017</w:t>
      </w:r>
    </w:p>
    <w:p>
      <w:r>
        <w:t>GE Cour de justice, 2017-09-26, FR</w:t>
      </w:r>
    </w:p>
    <w:p>
      <w:r>
        <w:rPr>
          <w:b/>
        </w:rPr>
        <w:t xml:space="preserve">Quelle: </w:t>
      </w:r>
      <w:r>
        <w:t>https://mcp.opencaselaw.ch/entscheid/ge_gerichte_ACJC_1225_2017</w:t>
      </w:r>
    </w:p>
    <w:p>
      <w:r>
        <w:t>FR: GE_GERICHTE ACJC/1225/2017 du 26 septembre 2017</w:t>
      </w:r>
    </w:p>
    <w:p>
      <w:r>
        <w:t>IT: GE_GERICHTE ACJC/1225/2017 del 26 settembre 2017</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 Celui-ci a été interjeté dans le délai de trente jours et suivant la forme prescrite par la loi (art. 142 al. 3 et 311 al. 1 CPC), de sorte qu'il est recevable.</w:t>
      </w:r>
    </w:p>
    <w:p>
      <w:r>
        <w:rPr>
          <w:b/>
        </w:rPr>
        <w:t>E. 1.2</w:t>
      </w:r>
    </w:p>
    <w:p>
      <w:r>
        <w:t>La Cour revoit la cause avec un plein pouvoir d’examen (art. 310 CPC).</w:t>
      </w:r>
    </w:p>
    <w:p>
      <w:r>
        <w:rPr>
          <w:b/>
        </w:rPr>
        <w:t>E. 2</w:t>
      </w:r>
    </w:p>
    <w:p>
      <w:r>
        <w:t>La présente cause présente un caractère international, l'intimé étant domicilié à Malte.</w:t>
      </w:r>
    </w:p>
    <w:p>
      <w:r>
        <w:t>La compétence ratione loci des juridictions genevoises a déjà été admise par la Cour dans son arrêt du 11 septembre 2015, confirmé par le Tribunal fédéral le</w:t>
      </w:r>
    </w:p>
    <w:p>
      <w:r>
        <w:rPr>
          <w:b/>
        </w:rPr>
        <w:t>E. 3</w:t>
      </w:r>
    </w:p>
    <w:p>
      <w:r>
        <w:t>L'appelant reproche au Tribunal d'avoir considéré, sur la seule base des déclarations de sa partie adverse, qu'il avait commis une violation contractuelle en effectuant la transaction litigieuse depuis l'accès Bloomberg de l'intimé sans l'autorisation de celui-ci. Il soutient en outre que la causalité naturelle et adéquate entre ladite violation (contestée) et le dommage fait défaut.</w:t>
      </w:r>
    </w:p>
    <w:p>
      <w:r>
        <w:rPr>
          <w:b/>
        </w:rPr>
        <w:t>E. 3.1</w:t>
      </w:r>
    </w:p>
    <w:p>
      <w:r>
        <w:t>Lorsque le débiteur n'exécute pas son obligation, il est tenu de réparer le dommage en résultant, s'il ne prouve qu'aucune faute ne lui est imputable (art. 97 al. 1 CO).</w:t>
      </w:r>
    </w:p>
    <w:p>
      <w:r>
        <w:rPr>
          <w:b/>
        </w:rPr>
        <w:t>E. 3.1.1</w:t>
      </w:r>
    </w:p>
    <w:p>
      <w:r>
        <w:t>L'art. 97 CO vise autant l'exécution qualitativement défectueuse d'une obligation principale du débiteur que la violation par ce dernier d'une obligation accessoire, telle que le devoir de diligence ou d'information, celle-ci pouvant trouver son fondement dans la loi, dans le contrat dûment interprété ou dans les règles de la bonne foi (THEVENOZ, Commentaire romand CO I, 2ème éd., 2012, n. 19 et 23 ad art. 97 CO).</w:t>
      </w:r>
    </w:p>
    <w:p>
      <w:r>
        <w:t>L'obligation accessoire (Nebenpflicht) se définit comme une obligation – non principale – qui découle du rapport contractuel de confiance existant entre les parties (ATF 120 II 252 consid. 3b/aa). En vertu des règles de la bonne foi (art. 2 al. 1 CC), le débiteur doit faire tout ce qu'exigent l'exécution régulière de l'obligation principale et la réalisation du but assigné à la prestation (ATF 129 III 604 consid. 4.2.1; ATF 113 II 246 consid. 4).</w:t>
      </w:r>
    </w:p>
    <w:p>
      <w:r>
        <w:t>- 8/14 -</w:t>
      </w:r>
    </w:p>
    <w:p>
      <w:r>
        <w:t>C/26925/2013</w:t>
      </w:r>
    </w:p>
    <w:p>
      <w:r>
        <w:rPr>
          <w:b/>
        </w:rPr>
        <w:t>E. 3.1.2</w:t>
      </w:r>
    </w:p>
    <w:p>
      <w:r>
        <w:t>Lorsqu'il est amené à qualifier et à interpréter un contrat, le juge doit rechercher, dans un premier temps, la réelle et commune intention des parties (interprétation subjective), le cas échéant empiriquement, sur la base d'indices (ATF 132 III 268 consid. 2.3.2, 626 consid. 3.1;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 ci, en particulier le comportement ultérieur des parties établissant quelles étaient à l'époque les conceptions des contractants eux-mêmes (ATF 118 II 365 consid. 1; 112 II 337 consid. 4a). L'appréciation de ces indices concrets par le juge, selon son expérience générale de la vie, relève du fait (ATF 118 II 365 consid. 1). Si sa recherche aboutit à un résultat positif, le juge parvient à la conclusion que les parties se sont comprises.</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(arrêts du Tribunal fédéral 5C.252/2004 du 30 mai 2005 consid. 4.3;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626 consid. 3.1). Ce principe permet d'imputer à une partie le sens objectif de sa déclaration ou de son comportement, même si celui-ci ne correspond pas à sa volonté intime (ATF 130 III 417 consid. 3.2; arrêt du Tribunal fédéral 4A_98/2016 du 22 août 2016 consid. 5.1).</w:t>
      </w:r>
    </w:p>
    <w:p>
      <w:r>
        <w:rPr>
          <w:b/>
        </w:rPr>
        <w:t>E. 3.1.3</w:t>
      </w:r>
    </w:p>
    <w:p>
      <w:r>
        <w:t>Un fait est la cause naturelle d'un résultat dommageable s'il en constitue une condition sine qua non. Autrement dit, on admet qu'il y a un lien de causalité naturelle entre deux événements lorsque, sans le premier, le second ne se serait pas produit; il n'est pas nécessaire que l'événement considéré soit la cause unique ou immédiate du résultat (ATF 133 III 462 consid. 4.4.2 et les références citées).</w:t>
      </w:r>
    </w:p>
    <w:p>
      <w:r>
        <w:t>Pour déterminer ensuite s'il y a causalité adéquate, il faut examiner si le fait en discussion était propre, selon le cours ordinaire des choses et l'expérience générale de la vie, à entraîner un résultat du genre de celui qui s'est produit. La causalité adéquate est cependant exclue – on parle alors d'une interruption du rapport de causalité – si une autre cause, notamment la faute ou le fait de la victime, constitue une circonstance tout à fait exceptionnelle ou apparaît si extraordinaire que l'on ne pouvait pas s'y attendre; l'imprévisibilité d'un acte concurrent ne suffit</w:t>
      </w:r>
    </w:p>
    <w:p>
      <w:r>
        <w:t>- 9/14 -</w:t>
      </w:r>
    </w:p>
    <w:p>
      <w:r>
        <w:t>C/26925/2013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en discussion (ATF 130 III 182 consid. 5.4; arrêt du Tribunal fédéral 1C_244/2015 du 7 août 2015 consid. 3.3).</w:t>
      </w:r>
    </w:p>
    <w:p>
      <w:r>
        <w:rPr>
          <w:b/>
        </w:rPr>
        <w:t>E. 3.1.4</w:t>
      </w:r>
    </w:p>
    <w:p>
      <w:r>
        <w:t>Chaque partie doit, si la loi ne prescrit pas le contraire, prouver les faits qu'elle allègue pour en déduire son droit (art. 8 CC).</w:t>
      </w:r>
    </w:p>
    <w:p>
      <w:r>
        <w:t>La preuve du lien de causalité incombe à celui qui requiert la réparation du dommage. Celui-ci doit établir les faits qui permettent de juger de la relation de causalité naturelle, dont le tribunal appréciera aussi le caractère adéquat. La preuve des facteurs interruptifs incombe en revanche à l'auteur du dommage (WERRO, Commentaire romand CO I, 2ème éd., 2012, n. 49 ad art. 41 CO).</w:t>
      </w:r>
    </w:p>
    <w:p>
      <w:r>
        <w:t>Le juge enfreint l'art. 8 CC notamment lorsqu'il admet indûment ou nie à tort l'absence de preuve (arrêt du Tribunal fédéral 4A_48/2008 du 10 juin 2008 consid. 3.2), soit qu'il applique un degré de preuve erroné, soit qu'il tienne pour exactes les allégations non prouvées d'une partie alors qu'elles sont contestées par l'autre (ATF 130 III 591 consid. 5.4).</w:t>
      </w:r>
    </w:p>
    <w:p>
      <w:r>
        <w:t>Un fait n'est établi que si le juge en est convaincu (ATF 131 III 222; 118 II 235, JdT 1994 I 331; 104 II 216).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2ème éd., 2016, n. 2008). Le juge forge sa conviction sur la base de sa seule appréciation de toutes les preuves qui auront été réunies au cours de la phase probatoire (JEANDIN, L'administration des preuves, in Le Code de procédure civile, aspects choisis, 2011, p. 93).</w:t>
      </w:r>
    </w:p>
    <w:p>
      <w:r>
        <w:t>L'art. 8 CC n'exclut pas la preuve par indices (ATF 127 III 248 consid. 3; 122 III 219; consid. 3c; 114 II 289 consid. 2a).</w:t>
      </w:r>
    </w:p>
    <w:p>
      <w:r>
        <w:t>Selon l'art. 168 al. 1 let. f CPC, l'interrogatoire et la déposition des parties sont considérés comme des moyens de preuve. La déposition est appréciée librement par le juge au sens de l'art. 157 CPC (SCHWEIZER, in CPC, Code de procédure civile commenté, BOHNET/HALDY/JEANDIN/SCHWEIZER/TAPPY [éd.], 2011, n° 4 ad art. 192 CPC).</w:t>
      </w:r>
    </w:p>
    <w:p>
      <w:r>
        <w:rPr>
          <w:b/>
        </w:rPr>
        <w:t>E. 3.2</w:t>
      </w:r>
    </w:p>
    <w:p>
      <w:r>
        <w:t>En l'espèce, il convient en premier lieu de déterminer les obligations contractuelles des parties sur la base des principes d'interprétation sus-rappelés, sans qu'il soit nécessaire à ce stade de qualifier juridiquement leur relation</w:t>
      </w:r>
    </w:p>
    <w:p>
      <w:r>
        <w:t>- 10/14 -</w:t>
      </w:r>
    </w:p>
    <w:p>
      <w:r>
        <w:t>C/26925/2013 contractuelle. Le contenu des obligations assumées par les parties permettra de déterminer si l'appelant a violé le contrat.</w:t>
      </w:r>
    </w:p>
    <w:p>
      <w:r>
        <w:t>L'appelant admet que l'intimé a mis à sa disposition son compte de clearing respectivement son login auprès de la plateforme Bloomberg, qu'il avait obtenus par le biais du "Clearing Agreement" conclu avec C______. L'intimé a soutenu de manière constante durant la procédure que, dans ce contexte contractuel, l'appelant devait lui demander son autorisation avant de passer toute transaction. A l'inverse, l'appelant a d'abord déclaré que toutes les opérations qu'il avait effectuées en utilisant les codes d'accès de l'intimé avaient été autorisées, car il avait agi sur instruction de ce dernier. Il a ensuite prétendu que l'intimé lui avait donné un accord préalable l'autorisant à effectuer toutes les transactions qu'il souhaitait, sans requérir d'autorisation au cas par cas. Ces déclarations sont contradictoires. Par ailleurs, le Tribunal a retenu pertinemment que l'intimé ne pouvait raisonnablement pas prendre le risque de laisser l'appelant effectuer toutes les transactions qu'il souhaitait, sur la base d'un accord préalable, alors que sa responsabilité envers C______ était engagée en cas d'erreur de l'appelant.</w:t>
      </w:r>
    </w:p>
    <w:p>
      <w:r>
        <w:t>En outre, l'appelant a déclaré qu'au moment où il prenait la position litigieuse auprès de la banque, l'intimé était "inatteignable", ce qui signifie qu'il cherchait à joindre ce dernier pour requérir l'autorisation de passer la transaction litigieuse.</w:t>
      </w:r>
    </w:p>
    <w:p>
      <w:r>
        <w:t>Enfin, les échanges de SMS produits, dont il ressort que l'appelant a tenté de réunir des fonds pour payer la somme réclamée à titre de dommage et a proposé à l'intimé de travailler pour lui afin de le rembourser, démontrent qu'il était conscient d'avoir violé les engagements pris à l'égard de l'intimé.</w:t>
      </w:r>
    </w:p>
    <w:p>
      <w:r>
        <w:t>Sur la base de ces éléments, il y a lieu d'admettre que l'appelant avait compris que l'accord préalable de l'intimé était nécessaire pour chaque transaction.</w:t>
      </w:r>
    </w:p>
    <w:p>
      <w:r>
        <w:t>En définitive, le Tribunal n'a pas mal apprécié les faits en retenant que les parties avaient convenu que l'appelant était tenu de demander l'autorisation de l'intimé avant d'effectuer des opérations par le biais de l'accès de celui-ci à la plateforme Bloomberg. Cette conclusion s'impose par une interprétation subjective du contrat. Ainsi, en effectuant la transaction litigieuse sans l'accord de l'intimé, l'appelant a commis une violation contractuelle.</w:t>
      </w:r>
    </w:p>
    <w:p>
      <w:r>
        <w:t>Par surabondance, il sied de relever, qu'en sus de l'obligation principale retenue ci- dessus, l'appelant a également violé des obligations accessoires, découlant du rapport contractuel de confiance existant entre les parties. D'abord, dans la mesure où l'appelant a pris la position litigieuse sans avoir pu joindre l'intimé, il lui appartenait de l'en informer le plus rapidement possible. Ensuite, l'appelant, gérant de fortune, avait déjà effectué plusieurs transactions de ce type avec la même banque, de sorte qu'il connaissait ou devait connaître le mode opératoire. Il lui incombait donc d'infirmer ou de confirmer rapidement l'opération auprès de la</w:t>
      </w:r>
    </w:p>
    <w:p>
      <w:r>
        <w:t>- 11/14 -</w:t>
      </w:r>
    </w:p>
    <w:p>
      <w:r>
        <w:t>C/26925/2013 banque, qui l'avait sollicité dans ce sens. Enfin, il lui appartenait d'avertir immédiatement l'intimé de ce qu'il n'entendait plus acheter les obligations en question et de tenter de les revendre.</w:t>
      </w:r>
    </w:p>
    <w:p>
      <w:r>
        <w:t>Si l'appelant avait respecté ses obligations contractuelles et n'avait ainsi pas pris la position litigieuse, puisqu'il n'avait pas pu recueillir l'accord préalable de l'intimé, celui-ci n'aurait pas dû rembourser à C______ la perte subie par la banque lors de la revente des titres. La condition de la causalité naturelle est ainsi remplie. Il en va de même de celle de la causalité adéquate, dans la mesure où il est conforme au cours ordinaire des choses dans le milieu de la finance, où la valeur des titres fluctue constamment, qu'en tardant à revendre une position prise trois jours auparavant, le vendeur s'expose à ce que le titre en question perde de sa valeur. Le fait que le dommage résulte des conventions entre l'intimé et C______, respectivement entre C______ et la banque - auxquelles l'appelant n'est pas partie - n'est pas déterminant.</w:t>
      </w:r>
    </w:p>
    <w:p>
      <w:r>
        <w:t>L'appelant soutient que l'absence de réaction de la part de l'intimé après avoir reçu le courriel du 26 juillet 2013 à 16h07 constituerait une faute de celui-ci reléguant son propre comportement à l'arrière-plan et interromprait la causalité adéquate.</w:t>
      </w:r>
    </w:p>
    <w:p>
      <w:r>
        <w:t>Il n'est pas contesté que la banque a liquidé les obligations en question le 26 juillet 2013. Ainsi, même si l'intimé avait réagi au courriel reçu le même jour, il n'aurait pas été en mesure d'éviter ou de limiter le dommage, au vu du court intervalle séparant le moment de la réception dudit courriel et celui de la vente des titres par la banque. De plus, n'ayant pas été informé de la transaction, l'intimé ne pouvait pas s'attendre à recevoir une communication d'une telle urgence, contrairement à l'appelant, de sorte qu'il ne peut pas lui être reproché d'avoir manqué de diligence en n'y donnant pas immédiatement suite. Ainsi, l'absence de réaction de la part de l'intimé ne saurait constituer une faute concomitante de nature à interrompre le lien de causalité adéquate.</w:t>
      </w:r>
    </w:p>
    <w:p>
      <w:r>
        <w:t>Enfin, l'appelant, à bien le comprendre, soutient qu'en versant à C______ le montant payé par celle-ci à la banque sans se préoccuper de savoir si cette somme était effectivement due, l'intimé aurait interrompu la causalité. Cependant, il ne conteste pas que ce montant, qui résulte de l'annexe au courrier adressé le 30 juillet 2013 par la banque à C______, a été payé par l'intimé. En outre, il n'a pas allégué, ni cherché à démontrer, en requérant les moyens de preuve pertinents, que le dommage n'avait aucun fondement ou était erroné dans sa quotité, étant rappelé que la preuve des facteurs interruptifs de la causalité lui incombait.</w:t>
      </w:r>
    </w:p>
    <w:p>
      <w:r>
        <w:t>Au vu de ce qui précède, le Tribunal a, à juste titre, retenu que les violations contractuelles commises par l'appelant ont causé le dommage dont l'intimé réclame la réparation.</w:t>
      </w:r>
    </w:p>
    <w:p>
      <w:r>
        <w:t>Les griefs de l'appelant se révèlent ainsi infondés.</w:t>
      </w:r>
    </w:p>
    <w:p>
      <w:r>
        <w:t>- 12/14 -</w:t>
      </w:r>
    </w:p>
    <w:p>
      <w:r>
        <w:t>C/26925/2013</w:t>
      </w:r>
    </w:p>
    <w:p>
      <w:r>
        <w:rPr>
          <w:b/>
        </w:rPr>
        <w:t>E. 4</w:t>
      </w:r>
    </w:p>
    <w:p>
      <w:r>
        <w:t>A titre subsidiaire, l'appelant fait valoir que le Tribunal aurait dû admettre que les parties avaient conclu un contrat de société simple et qu'ainsi les pertes devaient être partagées par moitié, de sorte qu'il ne devait que la moitié de la somme réclamée par l'intimé.</w:t>
      </w:r>
    </w:p>
    <w:p>
      <w:r>
        <w:t>4.1.1 A teneur de l'art. 530 al. 1 CO, la société simple est un contrat par lequel deux ou plusieurs personnes conviennent d'unir leurs efforts ou leurs ressources en vue d'atteindre un but commun.</w:t>
      </w:r>
    </w:p>
    <w:p>
      <w:r>
        <w:t>La société simple se présente ainsi comme un contrat de durée dont les éléments caractéristiques sont, d'une part, le but commun qui rassemble les efforts des associés et, d'autre part, l'existence d'un apport, c'est-à-dire une prestation que chaque associé doit faire au profit de la société (ATF 137 III 455 consid. 3.1).</w:t>
      </w:r>
    </w:p>
    <w:p>
      <w:r>
        <w:t>Les associés doivent avoir l'animus societatis, c'est-à-dire la volonté de mettre en commun des biens, des ressources ou des activités en vue d'atteindre un objectif déterminé, d'exercer une influence sur les décisions et de partager non seulement les risques et les profits, mais surtout la substance même de l'entreprise (arrêt du Tribunal fédéral 4A_251/2016 du 13 décembre 2016 consid. 5.2.1; ATF 99 II 303 consid. 4a). Lorsque la position des parties n'est pas égale, dès lors qu'un des partenaires peut donner unilatéralement des instructions à l'autre, révélant un pouvoir plus marqué chez l'un que chez l'autre, on est généralement en présence d'un contrat bilatéral, et non d'une société (ATF 104 II 108 consid. 2; arrêt du Tribunal fédéral 4P.28/2002 du 10 avril 2002 consid. 3b; ENGEL, Contrats de droit suisse, 2ème éd., 2000, p. 702).</w:t>
      </w:r>
    </w:p>
    <w:p>
      <w:r>
        <w:t>Dans de nombreux contrats, les partenaires espèrent de leur accord un profit réciproque, ne découlant néanmoins pas d'une union sociale. Le fait que la contreprestation soit mesurée et fournie par une part du résultat n'exclut ainsi pas l'existence d'un contrat synallagmatique (ENGEL, op. cit., pp. 701-702).</w:t>
      </w:r>
    </w:p>
    <w:p>
      <w:r>
        <w:t>4.1.2 Selon l'art. 538 CO, chaque associé doit apporter aux affaires de la société la diligence et les soins qu'il consacre habituellement à ses propres affaires (al. 1). Il est tenu envers les autres associés du dommage qu'il leur a causé par sa faute, sans pouvoir compenser avec ce dommage les profits qu'il a procurés à la société dans d'autres affaires (al. 2). L'art. 538 CO instaure une responsabilité contractuelle ordinaire. A ce titre, elle est soumise aux prescriptions générales de l'art. 97 CO (CHAIX, in Commentaire romand, CO II, 2008, n° 2 ad art. 538 CO).</w:t>
      </w:r>
    </w:p>
    <w:p>
      <w:r>
        <w:rPr>
          <w:b/>
        </w:rPr>
        <w:t>E. 4.2</w:t>
      </w:r>
    </w:p>
    <w:p>
      <w:r>
        <w:t>En l'espèce, il est acquis que l'appelant était tenu de requérir l'autorisation de l'intimé avant de passer des transactions par le biais des accès de celui-ci à la plateforme Bloomberg. Il ressort des allégations des deux parties que l'intimé avait un pouvoir plus marqué dans la relation contractuelle. L'intimé fournissait l'accès à la plateforme informatique à l'appelant, qui ne pouvait agir sans l'aval de l'intimé. De plus, les seules opérations dont le bénéfice devait être partagé étaient</w:t>
      </w:r>
    </w:p>
    <w:p>
      <w:r>
        <w:t>- 13/14 -</w:t>
      </w:r>
    </w:p>
    <w:p>
      <w:r>
        <w:t>C/26925/2013 celles effectuées par l'appelant, à l'exclusion de celles effectuées par l'intimé. Ces éléments conduisent la Cour à retenir, sur la base d'une interprétation subjective des manifestations de volonté des parties, que celles-ci n'entendaient pas unir leurs efforts et faire un apport dans un but commun, malgré les espoirs de profit réciproque. Par ailleurs, leur position n'était pas égale dans la relation contractuelle. Le premier juge a ainsi, à bon droit, estimé que l'animus societatis faisait défaut et qu'il n'était pas possible de qualifier le contrat entre les parties de contrat de société simple.</w:t>
      </w:r>
    </w:p>
    <w:p>
      <w:r>
        <w:t>En toute hypothèse, l'existence d'un contrat de société simple n'exclurait pas la responsabilité contractuelle basée sur l'art. 97 CO constatée ci-dessus.</w:t>
      </w:r>
    </w:p>
    <w:p>
      <w:r>
        <w:t>Le jugement attaqué sera donc confirmé.</w:t>
      </w:r>
    </w:p>
    <w:p>
      <w:r>
        <w:rPr>
          <w:b/>
        </w:rPr>
        <w:t>E. 5.1</w:t>
      </w:r>
    </w:p>
    <w:p>
      <w:r>
        <w:t>Aucun grief n'étant soulevé s'agissant du montant et de la répartition des frais judiciaires par le premier juge, ces points seront confirmés.</w:t>
      </w:r>
    </w:p>
    <w:p>
      <w:r>
        <w:rPr>
          <w:b/>
        </w:rPr>
        <w:t>E. 5.2</w:t>
      </w:r>
    </w:p>
    <w:p>
      <w:r>
        <w:t>L'appelant, qui succombe intégralement dans ses conclusions, sera condamné aux frais (art. 106 al.1 CPC).</w:t>
      </w:r>
    </w:p>
    <w:p>
      <w:r>
        <w:t>Les frais judiciaires d'appel seront arrêtés à 4'274 fr. (art. 17 et 35 RTFMC) et compensés avec l'avance versée par l'appelant, laquelle reste acquise à l'Etat de Genève (art. 111 CPC).</w:t>
      </w:r>
    </w:p>
    <w:p>
      <w:r>
        <w:t>L'appelant sera en outre condamné à verser à l'intimé la somme de 6'000 fr. à titre de dépens d'appel, débours compris (art. 25 et 26 LaCC; art. 84, 85 et 90 RTFMC), la TVA n'étant pas comprise au vu du domicile de l'intimé à l'étranger (ATF 141 IV 344 consid. 4.1; arrêt du Tribunal fédéral 4A_623/2015 du 3 mars 2016). * * * * * *</w:t>
      </w:r>
    </w:p>
    <w:p>
      <w:r>
        <w:t>- 14/14 -</w:t>
      </w:r>
    </w:p>
    <w:p>
      <w:r>
        <w:t>C/26925/2013 PAR CES MOTIFS, La Chambre civile : A la forme : Déclare recevable l'appel interjeté le 27 février 2017 par A______ contre le jugement JTPI/856/2017 rendu le 20 janvier 2017 par le Tribunal de première instance dans la cause C/26925/2013-20. Au fond : Confirme le jugement attaqué. Déboute les parties de toutes autres conclusions. Sur les frais : Arrête les frais judiciaires d'appel à 4'274 fr., les met à la charge de A______ et les compense avec l'avance de frais fournie, laquelle demeure acquise à l'Etat de Genève. Condamne A______ à verser à B______ la somme de 6'000 fr. à titre de dépens d'appel. Siégeant : Monsieur Ivo BUETTI, président; Madame Ursula ZEHETBAUER GHAVAMI, Madame Nathalie RAPP, juges; Madame Camille LESTEVEN, greffière.</w:t>
      </w:r>
    </w:p>
    <w:p>
      <w:r>
        <w:t>Le président : Ivo BUETTI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