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ACJC/1220/2015 vom 26. Mai 2015</w:t>
      </w:r>
    </w:p>
    <w:p>
      <w:r>
        <w:t>GE Cour de justice, 2015-05-26, FR</w:t>
      </w:r>
    </w:p>
    <w:p>
      <w:r>
        <w:rPr>
          <w:b/>
        </w:rPr>
        <w:t xml:space="preserve">Quelle: </w:t>
      </w:r>
      <w:r>
        <w:t>https://mcp.opencaselaw.ch/entscheid/ge_gerichte_ACJC_1220_2015</w:t>
      </w:r>
    </w:p>
    <w:p>
      <w:r>
        <w:t>FR: GE_GERICHTE ACJC/1220/2015 du 26 mai 2015</w:t>
      </w:r>
    </w:p>
    <w:p>
      <w:r>
        <w:t>IT: GE_GERICHTE ACJC/1220/2015 del 26 maggio 2015</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L'article 326 al. 1 CPC prévoit que les allégations de faits et preuve nouvelles sont irrecevables dans le cadre du recours. Les allégations nouvelles formulées par les parties sont ainsi irrecevables.</w:t>
      </w:r>
    </w:p>
    <w:p>
      <w:r>
        <w:rPr>
          <w:b/>
        </w:rPr>
        <w:t>E. 2.1</w:t>
      </w:r>
    </w:p>
    <w:p>
      <w:r>
        <w:t>Aux termes de l'art. 80 al. 1 LP, le créancier qui est au bénéfice d'un jugement exécutoire peut requérir du juge la mainlevée définitive de l'opposition.</w:t>
      </w:r>
    </w:p>
    <w:p>
      <w:r>
        <w:t>- 4/6 -</w:t>
      </w:r>
    </w:p>
    <w:p>
      <w:r>
        <w:t>C/4103/2015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2.2</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2.3</w:t>
      </w:r>
    </w:p>
    <w:p>
      <w:r>
        <w:t>L'art. 39 al. 1 de la Loi de procédure fiscale (RSG D 3 17) prévoit que le contribuable peut adresser au département une réclamation écrite contre la décision d'assujettissement ou de taxation, dans les 30 jours qui suivent sa notification.</w:t>
      </w:r>
    </w:p>
    <w:p>
      <w:r>
        <w:rPr>
          <w:b/>
        </w:rPr>
        <w:t>E. 2.4</w:t>
      </w:r>
    </w:p>
    <w:p>
      <w:r>
        <w:t>En l'espèce, la recourante n'allègue pas avoir formé de réclamation contre le bordereau de taxation du 1er octobre 2014 dans les 30 jours dès sa notification, conformément à l'art. 39 al. 1 de la Loi de procédure fiscale. Ce bordereau est par conséquent entré en force et était définitif et exécutoire le 9 février 2015, lors de la notification du commandement de payer. Conformément aux principes juridiques précités, il n'incombait pas au juge de la mainlevée de revoir le contenu du titre produit en se prononçant sur l'exactitude de la taxation. C'est par conséquent à juste titre que le Tribunal a prononcé la mainlevée de l'opposition.</w:t>
      </w:r>
    </w:p>
    <w:p>
      <w:r>
        <w:rPr>
          <w:b/>
        </w:rPr>
        <w:t>E. 3</w:t>
      </w:r>
    </w:p>
    <w:p>
      <w:r>
        <w:t>Selon l'art. 334 al. 1 CPC, si le dispositif de la décision ne correspond pas à la motivation, le tribunal peut d'office rectifier la décision. L'al. 2 de cette</w:t>
      </w:r>
    </w:p>
    <w:p>
      <w:r>
        <w:t>- 5/6 -</w:t>
      </w:r>
    </w:p>
    <w:p>
      <w:r>
        <w:t>C/4103/2015 disposition précise qu'en cas d'erreur d'écriture, le tribunal peut renoncer à demander aux parties de se déterminer.</w:t>
      </w:r>
    </w:p>
    <w:p>
      <w:r>
        <w:t>En l'espèce, le jugement querellé est affecté d'une erreur d'écriture, dans la mesure où ses motifs mentionnent, à juste titre, que la requête porte sur la mainlevée de l'opposition formée au commandement de payer poursuite n° "2______", alors que le dispositif fait référence à la poursuite n° "1______".</w:t>
      </w:r>
    </w:p>
    <w:p>
      <w:r>
        <w:t>En application de l'art. 334 al. 1 CPC, cette erreur d'écriture sera rectifiée d'office.</w:t>
      </w:r>
    </w:p>
    <w:p>
      <w:r>
        <w:rPr>
          <w:b/>
        </w:rPr>
        <w:t>E. 4</w:t>
      </w:r>
    </w:p>
    <w:p>
      <w:r>
        <w:t>La recourante, qui succombe, sera condamnée aux frais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w:t>
      </w:r>
    </w:p>
    <w:p>
      <w:r>
        <w:t>- 6/6 -</w:t>
      </w:r>
    </w:p>
    <w:p>
      <w:r>
        <w:t>C/4103/2015 PAR CES MOTIFS, La Chambre civile : A la forme : Déclare recevable le recours interjeté par A______ contre le jugement JTPI/6070/2015 rendu le 26 mai 2015 par le Tribunal de première instance dans la cause C/4103/2015-JS SML. Au fond : Rectifie le chiffre 1 du jugement querellé en ce sens que la mainlevée définitive de l'opposition porte sur le commandement de payer poursuite n° 2______. Confirme ce jugement pour le surplus. Rejette le recours. Déboute les parties de toutes autres conclusions. Sur les frais du recours : Arrête les frais judiciaires à 300 fr. et les met à la charge de A______. Dit qu'ils sont compensés par l'avance de frais fournie par cette dernière, laquelle reste acquise à l'ETAT DE GENEVE.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