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ACJC/121/2017 vom 6. Februar 2017</w:t>
      </w:r>
    </w:p>
    <w:p>
      <w:r>
        <w:t>GE Cour de justice, 2017-02-06, FR</w:t>
      </w:r>
    </w:p>
    <w:p>
      <w:r>
        <w:rPr>
          <w:b/>
        </w:rPr>
        <w:t xml:space="preserve">Quelle: </w:t>
      </w:r>
      <w:r>
        <w:t>https://mcp.opencaselaw.ch/entscheid/ge_gerichte_ACJC_121_2017</w:t>
      </w:r>
    </w:p>
    <w:p>
      <w:r>
        <w:t>FR: GE_GERICHTE ACJC/121/2017 du 6 février 2017</w:t>
      </w:r>
    </w:p>
    <w:p>
      <w:r>
        <w:t>IT: GE_GERICHTE ACJC/121/2017 del 6 febbraio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d’une procédure portant sur la validité d'une résiliation de bail, la valeur litigieuse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4A_367/2010 du 4.10.2010 consid. 1.1; 4A_127/2008 du 2.6.2008 consid. 1.1;4A_516/2007 du 6.3.2008 consid. 1.1).</w:t>
      </w:r>
    </w:p>
    <w:p>
      <w:r>
        <w:rPr>
          <w:b/>
        </w:rPr>
        <w:t>E. 1.2</w:t>
      </w:r>
    </w:p>
    <w:p>
      <w:r>
        <w:t>En l'espèce, vu le loyer annuel de 23’352 fr., et en tenant compte du délai de protection de trois ans de l'art. 271a al. 1 let. e CO (ATF 111 II 384; 119 II 147), la valeur litigieuse est supérieure à 10'000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- 6/9 -</w:t>
      </w:r>
    </w:p>
    <w:p>
      <w:r>
        <w:t>C/9369/2015 En l’espèce, l’appel interjeté le 24 mai 2016 répond à ces conditions. Il est donc recevable.</w:t>
      </w:r>
    </w:p>
    <w:p>
      <w:r>
        <w:rPr>
          <w:b/>
        </w:rPr>
        <w:t>E. 1.4</w:t>
      </w:r>
    </w:p>
    <w:p>
      <w:r>
        <w:t>Saisie d'un appel, la Cour de justice revoit la cause avec un pouvoir de cognition complet, c'est-à-dire tant en fait qu'en droit (art. 310 CPC). Elle n'est nullement liée par l'appréciation des faits à laquelle s'est livré le juge de première instance (JEANDIN, in Code de procédure civile commenté, Bâle, 2011, n. 6 ad art. 310).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L’appelante soutient que la modification du caractère portable de la dette de loyer (art. 74 al. 2 ch. 1 CO) par les parties, devenue par actes concluants une dette quérable en l’espèce, ne pouvait être remise en question qu’avec son consentement.</w:t>
      </w:r>
    </w:p>
    <w:p>
      <w:r>
        <w:t>L’appelante ne tire cependant aucune conclusion de cet argument, dont la Cour ne peut que constater qu’il est irrelevant à ce stade.</w:t>
      </w:r>
    </w:p>
    <w:p>
      <w:r>
        <w:t>En effet, lorsque le mandataire de l’appelante a accusé réception de la mise en demeure du 4 mars 2015, reconnaissant les loyers dus et sollicitant la transmission des coordonnées de paiement, il a admis que l’arriéré de loyer devait être réglé sur le compte postal ou bancaire du mandataire de la sous-bailleresse.</w:t>
      </w:r>
    </w:p>
    <w:p>
      <w:r>
        <w:t>Le premier grief de l’appelante est infondé.</w:t>
      </w:r>
    </w:p>
    <w:p>
      <w:r>
        <w:rPr>
          <w:b/>
        </w:rPr>
        <w:t>E. 3</w:t>
      </w:r>
    </w:p>
    <w:p>
      <w:r>
        <w:t>Les autres griefs de l’appelante ont trait à la contestation de la validité du congé notifié pour défaut de paiement le 14 avril 2015.</w:t>
      </w:r>
    </w:p>
    <w:p>
      <w:r>
        <w:rPr>
          <w:b/>
        </w:rPr>
        <w:t>E. 3.1</w:t>
      </w:r>
    </w:p>
    <w:p>
      <w:r>
        <w:t>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w:t>
      </w:r>
    </w:p>
    <w:p>
      <w:r>
        <w:t>- 7/9 -</w:t>
      </w:r>
    </w:p>
    <w:p>
      <w:r>
        <w:t>C/9369/2015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Le bail à loyer, Lausanne, 2008, p. 670-671).</w:t>
      </w:r>
    </w:p>
    <w:p>
      <w:r>
        <w:rPr>
          <w:b/>
        </w:rPr>
        <w:t>E. 3.2</w:t>
      </w:r>
    </w:p>
    <w:p>
      <w:r>
        <w:t>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w:t>
      </w:r>
    </w:p>
    <w:p>
      <w:r>
        <w:rPr>
          <w:b/>
        </w:rPr>
        <w:t>E. 3.3</w:t>
      </w:r>
    </w:p>
    <w:p>
      <w:r>
        <w:t>Selon les circonstances, un congé donné en application de l'art. 257d al. 2 CO peut être annulable.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p. 673.</w:t>
      </w:r>
    </w:p>
    <w:p>
      <w:r>
        <w:rPr>
          <w:b/>
        </w:rPr>
        <w:t>E. 3.4</w:t>
      </w:r>
    </w:p>
    <w:p>
      <w:r>
        <w:t>En l’espèce, le retard pris dans le paiement du loyer et le fait qu’une mise en demeure ait été notifiée avec menace de résiliation du bail pour défaut de paiement le 4 mars 2015 sont établis par pièces et ne sont d’ailleurs pas contestés. L’appelante fait valoir qu’elle a fait quatre versements totalisant la somme de 6'838 fr. dans le délai comminatoire, devant être compté depuis le 14 mars 2015 du fait de la réception d’un bulletin de versement à cette date seulement. Elle ne conteste pas cependant qu’après le 8 avril 2015, elle restait devoir à la bailleresse</w:t>
      </w:r>
    </w:p>
    <w:p>
      <w:r>
        <w:t>- 8/9 -</w:t>
      </w:r>
    </w:p>
    <w:p>
      <w:r>
        <w:t>C/9369/2015 une somme de 946 fr., réglée seulement le 4 mai 2015, soit bien après l’échéance du délai comminatoire de 30 jours qui, si l’on tient compte de son calcul, devait arriver à échéance le 13 avril. Au vu de ce qui précède, la prolongation du délai au 14 mars 2015 ne modifie en rien le fait que les conditions de l'art. 257d CO étaient réalisées lors de la notification de l’avis de résiliation du 14 avril 2015. Par ailleurs, la prétendue créance contre la sous-bailleresse, en restitution des intérêts indûment payés sur le prix de vente, que fait valoir pour la première fois en appel l’appelante pour exciper de compensation avec sa dette de loyer, est tardive. Pour être prise en considération dans le cadre de la mise en demeure et mettre en échec la résiliation qui a suivi, elle aurait dû être présentée durant le délai comminatoire. Il n’est pas nécessaire d’examiner la recevabilité de l’exception de compensation à la lumière de l’article 317 CPC. Par conséquent, la résiliation du 14 avril 2015, notifiée en raison du défaut de paiement du loyer, est efficace.</w:t>
      </w:r>
    </w:p>
    <w:p>
      <w:r>
        <w:rPr>
          <w:b/>
        </w:rPr>
        <w:t>E. 3.5</w:t>
      </w:r>
    </w:p>
    <w:p>
      <w:r>
        <w:t>En ce qui concerne l’annulation du congé en raison d’une violation invoquée des règles de la bonne foi, le solde restant dû après l’échéance du délai comminatoire, soit 3'842 fr. selon l’intimée, ou 946 fr. selon l’appelante, n’est pas insignifiant. Les circonstances de la notification du congé ne permettent pas de considérer celui-ci comme abusif, au regard de la jurisprudence rappelée ci-dessus. Dès lors, le congé notifié le 14 avril 2015 est également valable sous l’angle de la bonne foi. En conséquence,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- 9/9 -</w:t>
      </w:r>
    </w:p>
    <w:p>
      <w:r>
        <w:t>C/9369/2015 PAR CES MOTIFS, La Chambre des baux et loyers : A la forme : Déclare recevable l’appel interjeté le 24 mai 2016 par A______ contre le jugement JTBL/367/2016, rendu le 21 avril 2016 par le Tribunal des baux et loyers dans la cause C/9369/2015. Au fond : Confirme ce jugement. Déboute les parties de toutes autres conclusions. Dit que la procédure est gratuite. Siégeant : Monsieur Ivo BUETTI, président; Madame Pauline ERARD et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