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ACJC/1218/2019 vom 3. September 2019</w:t>
      </w:r>
    </w:p>
    <w:p>
      <w:r>
        <w:t>GE Cour de justice, 2019-09-03, FR</w:t>
      </w:r>
    </w:p>
    <w:p>
      <w:r>
        <w:rPr>
          <w:b/>
        </w:rPr>
        <w:t xml:space="preserve">Quelle: </w:t>
      </w:r>
      <w:r>
        <w:t>https://mcp.opencaselaw.ch/entscheid/ge_gerichte_ACJC_1218_2019</w:t>
      </w:r>
    </w:p>
    <w:p>
      <w:r>
        <w:t>FR: GE_GERICHTE ACJC/1218/2019 du 3 septembre 2019</w:t>
      </w:r>
    </w:p>
    <w:p>
      <w:r>
        <w:t>IT: GE_GERICHTE ACJC/1218/2019 del 3 settembre 2019</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sur les droits parentaux (arrêt du Tribunal fédéral 5A_765/2012 du 19 février 2013), l'appel est en l'espèce recevable.</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5A_392/2014 du 20 août 2014 consid. 1.5).</w:t>
      </w:r>
    </w:p>
    <w:p>
      <w:r>
        <w:t>- 8/18 -</w:t>
      </w:r>
    </w:p>
    <w:p>
      <w:r>
        <w:t>C/16567/2018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 En l'espèce, les parties ont produit devant la Cour diverses pièces non soumises au Tribunal. Celles-ci ont trait à l'entretien et à la garde de leur fille C______, qui est encore mineure. Ces pièces et les éléments de fait qu'elles comportent sont donc recevables, ce qui n'est pas contesté.</w:t>
      </w:r>
    </w:p>
    <w:p>
      <w:r>
        <w:rPr>
          <w:b/>
        </w:rPr>
        <w:t>E. 2.2</w:t>
      </w:r>
    </w:p>
    <w:p>
      <w:r>
        <w:t>Pour les mêmes motifs, la recevabilité des conclusions prises par l'appelant pour la première fois devant la Cour et tendant à l'instauration d'une garde alternée doit être admise indépendamment de l' éventuel respect des exigences formulées à l'art. 317 al. 2 CPC, dès lors que le juge prend d'office les mesures relatives aux enfants mineurs (cf. art. 296 al. 3 CPC).</w:t>
      </w:r>
    </w:p>
    <w:p>
      <w:r>
        <w:rPr>
          <w:b/>
        </w:rPr>
        <w:t>E. 3</w:t>
      </w:r>
    </w:p>
    <w:p>
      <w:r>
        <w:t>A titre préalable, l'appelant sollicite qu'il soit ordonné au SEASP d'établir un nouveau rapport d'évaluation sociale.</w:t>
      </w:r>
    </w:p>
    <w:p>
      <w:r>
        <w:rPr>
          <w:b/>
        </w:rPr>
        <w:t>E. 3.1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w:t>
      </w:r>
    </w:p>
    <w:p>
      <w:r>
        <w:t>- 9/18 -</w:t>
      </w:r>
    </w:p>
    <w:p>
      <w:r>
        <w:t>C/16567/2018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w:t>
      </w:r>
    </w:p>
    <w:p>
      <w:r>
        <w:rPr>
          <w:b/>
        </w:rPr>
        <w:t>E. 3.2</w:t>
      </w:r>
    </w:p>
    <w:p>
      <w:r>
        <w:t>En l'espèce, le SEASP a remis au Tribunal un rapport d'évaluation détaillé en date du 16 janvier 2019. Outre que l'établissement de ce rapport ne remonte qu'à quelques mois, le Service susvisé y relève expressément que l'analyse qu'il y livre et les recommandations qu'il y formule ne sont pas susceptibles de changer tant que l'issue de la procédure pénale dirigée contre l'appelant n'est pas connue. Or, cette procédure est aujourd'hui toujours en cours et rien n'indique que les charges pesant sur l'appelant seraient en passe d'être abandonnées. Le seul fait que l'appelant n'ait pour l'heure pas été mis en prévention ne constitue pas une preuve suffisante en ce sens, l'autorité pénale étant notamment libre de poursuivre ses investigations avant de prendre cas échéant une telle mesure. Dès lors, le SEASP ne pourrait vraisemblablement parvenir à des conclusions différentes de celles du rapport susvisé si l'établissement d'un nouveau rapport lui était aujourd'hui commandé. La nature sommaire du présent procès s'oppose par ailleurs à ce que son instruction soit prolongée jusqu'à l'issue de la procédure pénale en cours, dont la date n'est pas prévisible, voire jusqu'à l'établissement d'un nouveau rapport d'évaluation tenant compte de cette issue. Par conséquent, l'appelant sera débouté de ses conclusions préalables en ce sens.</w:t>
      </w:r>
    </w:p>
    <w:p>
      <w:r>
        <w:rPr>
          <w:b/>
        </w:rPr>
        <w:t>E. 4</w:t>
      </w:r>
    </w:p>
    <w:p>
      <w:r>
        <w:t>Sur le fond, l'appelant sollicite devant la Cour l'instauration d'une garde alternée sur l'enfant C______. Il relève notamment que la procédure pénale initiée à son encontre par son épouse n'a donné lieu à aucune mise en prévention.</w:t>
      </w:r>
    </w:p>
    <w:p>
      <w:r>
        <w:rPr>
          <w:b/>
        </w:rPr>
        <w:t>E. 4.1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Bien que l'autorité parentale conjointe soit désormais la règle et qu'elle comprenne le droit de déterminer le lieu de résidence de l'enfant (art. 296 al. 2 et art.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w:t>
      </w:r>
    </w:p>
    <w:p>
      <w:r>
        <w:t>- 10/18 -</w:t>
      </w:r>
    </w:p>
    <w:p>
      <w:r>
        <w:t>C/16567/2018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réf. cit.).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et les réf. cit.). 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C______ vit auprès de sa mère depuis la séparation des parties, laquelle remonte aujourd'hui à plus d'une année. Si le SEASP a pu qualifier les capacités parentales de l'intimée de partielles, ledit Service a également relevé que l'intimée avait progressivement pris conscience de ses lacunes et qu'elle acceptait l'aide éducative proposée par la curatrice, avec laquelle elle collaborait</w:t>
      </w:r>
    </w:p>
    <w:p>
      <w:r>
        <w:t>- 11/18 -</w:t>
      </w:r>
    </w:p>
    <w:p>
      <w:r>
        <w:t>C/16567/2018 pleinement. Ces conditions ne font dès lors pas obstacle à l'attribution de la garde de C______ à sa mère, avec laquelle l'appelant s'accordait d'ailleurs devant le Tribunal. S'agissant de l'appelant, le Service susvisé a relevé que les éléments recueillis par ses intervenants ne permettaient pas de dissiper les craintes relatives aux actes de nature sexuelle que l'intimée lui reproche d'avoir commis en présence de sa fille; devant lesdits intervenants, l'appelant a au contraire tenté de banaliser ses actes ou d'en minimiser la portée, ce qui renforce les craintes susvisées. Dans ces conditions, la Cour estime comme le SEASP qu'on ne saurait pour l'heure envisager l'établissement d'une garde alternée, et ce quand bien même l'appelant n'aurait à ce jour pas été mis en prévention dans le cadre de la procédure pénale dirigée contre lui en relation avec les actes susvisés. Rien ne permet d'exclure qu'une telle mise en prévention puisse encore survenir, notamment si le Ministère public devait recueillir suffisamment d'éléments à charge contre l'appelant, et la situation revêtirait alors une gravité certaine, comme le relève le SEASP. A cela s'ajoute qu'en l'espèce, il existe entre les parties un important conflit conjugal, dont l'intensité croissante a été expressément relevée par les curatrices de l'enfant. Devant la Cour, l'appelant n'apporte aucun élément permettant de considérer que ce conflit serait en voie d'apaisement et/ou que les parties parviendraient à surmonter leurs difficultés à communiquer, notamment au sujet de leur fille. Ces difficultés font au contraire craindre une impossibilité pour les parties de s'entendre sur de quelconques modalités pratiques et de préserver leur fille des conséquences de leur conflit conjugal en cas d'instauration d'une garde alternée. Pour ces motifs, l'appelant sera débouté de ses conclusions en ce sens et le jugement entrepris sera confirmé en tant qu'il a attribué la garde exclusive de C______ à l'intimée.</w:t>
      </w:r>
    </w:p>
    <w:p>
      <w:r>
        <w:rPr>
          <w:b/>
        </w:rPr>
        <w:t>E. 5</w:t>
      </w:r>
    </w:p>
    <w:p>
      <w:r>
        <w:t>Subsidiairement, l'appelant conclut au rétablissement des relations personnelles avec sa fille C______. Invoquant les mêmes motifs que précédemment, il soutient que le premier juge aurait dû lui accorder un droit de visite sur celle-ci.</w:t>
      </w:r>
    </w:p>
    <w:p>
      <w:r>
        <w:rPr>
          <w:b/>
        </w:rPr>
        <w:t>E. 5.1</w:t>
      </w:r>
    </w:p>
    <w:p>
      <w:r>
        <w:t>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127 III 295 consid. 4.a; arrêts du Tribunal fédéral 5A_334/2018 du 7 août 2018 consid. 3.1; 5A_618/2017 du 2 février 2018 consid. 4.2).</w:t>
      </w:r>
    </w:p>
    <w:p>
      <w:r>
        <w:t>- 12/18 -</w:t>
      </w:r>
    </w:p>
    <w:p>
      <w:r>
        <w:t>C/16567/2018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w:t>
      </w:r>
    </w:p>
    <w:p>
      <w:r>
        <w:rPr>
          <w:b/>
        </w:rPr>
        <w:t>E. 5.2</w:t>
      </w:r>
    </w:p>
    <w:p>
      <w:r>
        <w:t>En l'espèce, le SEASP et les curatrices de l'enfant C______ préconisent de suspendre en l'état les relations personnelles entre celle-ci et l'appelant, dans l'attente de l'issue de la procédure pénale dirigée contre ce dernier. Compte tenu de la gravité des soupçons qui pèsent sur l'appelant, ces recommandations doivent en l'occurrence être suivies. On ne saurait notamment accepter le risque que l'appelant adopte un comportement inadéquat vis-à-vis-de sa fille lors de l'exercice de son droit de visite, ou qu'il ravive chez celle-ci le souvenir de tels comportements si ceux-ci ont déjà eu lieu. Ce risque ne paraît pas pouvoir être complètement évité par des mesures de surveillance ou d'accompagnement, notamment quant aux propos inappropriés que l'appelant pourrait tenir à sa fille et dont il ne saisit apparemment pas le caractère inadéquat. Le SEASP n'envisage d'ailleurs pas que de telles mesures puissent être utilement instaurées en l'espèce. L'issue de la procédure pénale n'apparaît par ailleurs pas à ce point éloignée que l'on ne puisse imposer au père comme à la fille, dans le cadre de mesures protectrices de l'union conjugale qui constituent de simples mesures provisionnelles, de suspendre à ce stade l'exercice de leurs relations personnelles, dans le but de s'assurer que celles-ci ne sont pas contraires à l'intérêt de l'enfant. Les parties pourront notamment solliciter le rétablissement des relations</w:t>
      </w:r>
    </w:p>
    <w:p>
      <w:r>
        <w:t>- 13/18 -</w:t>
      </w:r>
    </w:p>
    <w:p>
      <w:r>
        <w:t>C/16567/2018 personnelles dans un nouveau procès, cas échéant par voie de mesures provisionnelles, en cas d'issue de la procédure pénale favorable à l'intimé. Par conséquent, le jugement entrepris sera confirmé en tant qu'il a renoncé en l'état à fixer un droit de visite en faveur de l'appelant.</w:t>
      </w:r>
    </w:p>
    <w:p>
      <w:r>
        <w:rPr>
          <w:b/>
        </w:rPr>
        <w:t>E. 6</w:t>
      </w:r>
    </w:p>
    <w:p>
      <w:r>
        <w:t>L'appelant conteste également le montant de la contribution à l'entretien de sa fille mise à sa charge par le Tribunal. Il soutient que ce montant entame son minimum vital et que son épouse aurait dû se voir imputer un revenu hypothétique.</w:t>
      </w:r>
    </w:p>
    <w:p>
      <w:r>
        <w:rPr>
          <w:b/>
        </w:rPr>
        <w:t>E. 6.1</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rPr>
          <w:b/>
        </w:rPr>
        <w:t>E. 6.1.1</w:t>
      </w:r>
    </w:p>
    <w:p>
      <w:r>
        <w:t>Selon l'art. 285 al. 1 CC, la contribution d'entretien doit correspondre aux besoins de l'enfant ainsi qu'à la situation et aux ressources de ses père et mère; il est tenu compte de la fortune et des revenus de l'enfant (al. 1).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w:t>
      </w:r>
    </w:p>
    <w:p>
      <w:r>
        <w:t>- 14/18 -</w:t>
      </w:r>
    </w:p>
    <w:p>
      <w:r>
        <w:t>C/16567/2018</w:t>
      </w:r>
    </w:p>
    <w:p>
      <w:r>
        <w:rPr>
          <w:b/>
        </w:rPr>
        <w:t>E. 6.1.2</w:t>
      </w:r>
    </w:p>
    <w:p>
      <w:r>
        <w:t>La loi n'impose pas de méthode de calcul de la contribution d'entretien. Sa fixation relève de l'appréciation du juge, qui jouit d'un large pouvoir d'appréciation et applique les règles du droit et de l'équité (art. 4 CC; ATF 140 III 337 consid. 4.2.2; 128 III 161, cons. 2c/aa; 127 III 136 consid. 3a; arrêt 5A_465/2016 19 janvier 2017 consid. 7.2.2). S'agissant de la contribution de prise en charge, le calcul doit s'effectuer sur la base du montant qui, selon les cas, manque à un parent pour couvrir ses propres frais de subsistance (arrêt du Tribunal fédéral 5A_454/2017 du 17 mai 2018 consid. 7.1.2.2).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84s. et 101s.). Le minimum vital du débirentier doit dans tous les cas être préservé (ATF 135 III 66, JdT 2010 I 167; 127 III 68 consid. 2, SJ 2001 I 280; arrêt du Tribunal fédéral 5A_662/2013 du 24 juin 2014 consid. 3.2.1).</w:t>
      </w:r>
    </w:p>
    <w:p>
      <w:r>
        <w:rPr>
          <w:b/>
        </w:rPr>
        <w:t>E. 6.1.3</w:t>
      </w:r>
    </w:p>
    <w:p>
      <w:r>
        <w:t>Lors de la fixation de la contribution d'entretien en faveur de l'enfant, le juge doit en principe tenir compte des revenus effectifs des parties. Néanmoins, un conjoint peut se voir imputer un revenu hypothétique, lorsqu'il pourrait gagner davantage qu'il ne gagne effectivement en faisant preuve de bonne volonté ou en fournissant l'effort qui peut raisonnablement être exigé de lui (ATF 143 III 233 consid. 3.2; ATF 137 III 102 consid. 4.2.2.2; arrêt du Tribunal fédéral 5A_256/ 2015 du 13 août 2015 consid. 3.2.1 arrêt du Tribunal fédéral 5A_218/2012 du 29 juin 2012 consid. 3.3.3).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consid. 6.2.1; 5A_318/2014 du 2 octobre 2014 consid. 3.1.3.1 et la jurisprudence citée).</w:t>
      </w:r>
    </w:p>
    <w:p>
      <w:r>
        <w:rPr>
          <w:b/>
        </w:rPr>
        <w:t>E. 6.1.4</w:t>
      </w:r>
    </w:p>
    <w:p>
      <w:r>
        <w:t>Selon la jurisprudence jusqu'ici bien établie du Tribunal fédéral, il ne pouvait en principe être exigé d'un époux la prise ou la reprise d'une activité</w:t>
      </w:r>
    </w:p>
    <w:p>
      <w:r>
        <w:t>- 15/18 -</w:t>
      </w:r>
    </w:p>
    <w:p>
      <w:r>
        <w:t>C/16567/2018 lucrative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(ATF 144 III 481consid. 4.7.6; cf. arrêts du Tribunal fédéral 5A_931/2017 du 1er novembre 2018 consid. 3.1.2; 5A_454/2017 du 17 mai 2018 consid. 6.1.2.2 non publié in ATF 144 III 377). Ces lignes directrices ne sont toutefois pas des règles strictes et leur application dépend des circonstances du cas concret (ibidem).</w:t>
      </w:r>
    </w:p>
    <w:p>
      <w:r>
        <w:rPr>
          <w:b/>
        </w:rPr>
        <w:t>E. 6.2</w:t>
      </w:r>
    </w:p>
    <w:p>
      <w:r>
        <w:t>En l'espèce, la situation financière des parties et de leur fille C______ se détermine comme suit :</w:t>
      </w:r>
    </w:p>
    <w:p>
      <w:r>
        <w:rPr>
          <w:b/>
        </w:rPr>
        <w:t>E. 6.2.1</w:t>
      </w:r>
    </w:p>
    <w:p>
      <w:r>
        <w:t>L'appelant perçoit un revenu de 6'116 fr. net par mois. Il vit avec une compagne dont il indique qu'elle travaille à mi-temps et participe au paiement des factures communes, à l'exclusion du loyer. Ces allégations n'étant pas contestées par l'intimée, il convient de retenir, comme le Tribunal, que les charges mensuelles de l'appelant comprennent le loyer de son logement (1'465 fr.), ses primes d'assurance-maladie de base (421 fr.), ses frais de transport (70 fr.), les mensualités de l'emprunt contracté pour les besoins de la famille (342 fr.) et son entretien de base estimé à la moitié du montant prévu pour deux adultes vivant en ménage commun (850 fr.), soit un total de 3'148 fr. par mois. Pour le reste, les primes d'assurance-maladie complémentaires et les primes d'assurance vie ne constituent pas des frais incompressibles, le caractère récurrent des frais médicaux allégués n'est pas suffisamment établi et les impôts allégués ne résultent pas d'un bordereau effectif, mais d'une simulation dont on ignore les variables de départ. Il faut dès lors admettre que l'appelant bénéficie d'un solde disponible de 2'968 fr. par mois (6'116 fr. – 3'148 fr.).</w:t>
      </w:r>
    </w:p>
    <w:p>
      <w:r>
        <w:rPr>
          <w:b/>
        </w:rPr>
        <w:t>E. 6.2.2</w:t>
      </w:r>
    </w:p>
    <w:p>
      <w:r>
        <w:t>L'intimée n'exerce pas d'activité lucrative et n'en a plus exercé depuis cinq ans environ. Conformément aux lignes directrices rappelées sous consid. 6.1.3, on ne peut attendre d'elle qu'elle reprenne une telle activité avant que C______ ne soit scolarisée, ce qui devrait intervenir à la rentrée 2020.</w:t>
      </w:r>
    </w:p>
    <w:p>
      <w:r>
        <w:t>- 16/18 -</w:t>
      </w:r>
    </w:p>
    <w:p>
      <w:r>
        <w:t>C/16567/2018 Au stade des présentes mesures protectrices de l'union conjugale, il n'y a toutefois pas lieu d'anticiper cette échéance, ni d'imputer aujourd'hui à l'intimée un revenu hypothétique. Le cas échéant, cette question pourra être réexaminée en fonction de la situation effective des parties lorsque leur fille aura concrètement entamé sa scolarité, notamment dans le cadre d'un éventuel procès en divorce, étant observé que les parties vivent séparées depuis le mois de juin 2018 et qu'un tel procès pourrait être intenté dès la fin du mois de juin 2020. S'agissant des charges mensuelles de l'intimée, celles-ci ne sont pas contestées et comprennent actuellement une part du loyer du logement qu'elle partage avec ses filles et son neveu (915 fr., soit 70% de 1'307 fr.), ses primes d'assurance-maladie obligatoire (363 fr.), ses frais de transport (70 fr.) et son entretien de base (1'350 fr.), soit un total de 2'698 fr. par mois. Le budget mensuel de l'intimée présente dès lors un déficit équivalent à ce montant.</w:t>
      </w:r>
    </w:p>
    <w:p>
      <w:r>
        <w:rPr>
          <w:b/>
        </w:rPr>
        <w:t>E. 6.2.3</w:t>
      </w:r>
    </w:p>
    <w:p>
      <w:r>
        <w:t>Les besoins mensuels de la mineure C______, également non contestés, comprennent une part du loyer de l'appartement familial (131 fr., soit 10% de 1'307 fr.) ses primes d'assurance-maladie (9 fr.) et son entretien de base (400 fr., soit un total de 540 fr. par mois. Allocations familiales déduites, les coûts effectifs de C______ s'élèvent ainsi à 240 fr. par mois. Conformément aux principes rappelés ci-dessus, il convient d'ajouter à ces coûts une contribution de prise en charge correspondant au déficit de l'intimée, ce qui porte le total de la contribution due par l'appelant pour l'entretien de sa fille à 2'938 fr. par mois (240 fr. + 2'698 fr.). En chiffres ronds, le montant de la contribution litigieuse peut être arrêté à 2'900 fr. par mois, comme l'a fait le Tribunal. Contrairement à ce que l'appelant soutient, un tel montant n'entame pas son minimum vital élargi, puisqu'il dispose d'un solde de 2'968 fr. par mois. Le paiement de cette contribution peut donc être exigé de lui. Le chiffre 6 du dispositif du jugement entrepris sera en conséquence également confirmé.</w:t>
      </w:r>
    </w:p>
    <w:p>
      <w:r>
        <w:rPr>
          <w:b/>
        </w:rPr>
        <w:t>E. 7</w:t>
      </w:r>
    </w:p>
    <w:p>
      <w:r>
        <w:t>Les frais judiciaires d'appel, comprenant les frais de la décision rendue sur effet suspensif, seront arrêtés à 1'200 fr. (art. 23, 31 et 35 RTFMC) et mis à la charge de l'appelant, qui succombe (art. 95 et 106 al. 2 CPC). Ces frais seront compensés avec l'avance de frais de même montant fournie par l'appelant, qui demeure acquise à l'Etat (art. 111 al. 1 CPC). Au vu de la nature familiale du litige, chaque partie supportera ses propres dépens d'appel (art. 107 al. 1 let. c CPC).</w:t>
      </w:r>
    </w:p>
    <w:p>
      <w:r>
        <w:t>- 17/18 -</w:t>
      </w:r>
    </w:p>
    <w:p>
      <w:r>
        <w:t>C/16567/2018</w:t>
      </w:r>
    </w:p>
    <w:p>
      <w:r>
        <w:rPr>
          <w:b/>
        </w:rPr>
        <w:t>E. 8</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- 18/18 -</w:t>
      </w:r>
    </w:p>
    <w:p>
      <w:r>
        <w:t>C/16567/2018 PAR CES MOTIFS, La Chambre civile : A la forme : Déclare recevable l'appel interjeté le 21 mars 2019 par A______ contre les chiffres 3 à 6 et 10 du dispositif du jugement JTPI/3374/2019 rendu le 7 mars 2019 par le Tribunal de première instance dans la cause C/16567/2018-15. Au fond : Confirme le jugement entrepris. Déboute les parties de toutes autres conclusions. Sur les frais : Arrête les frais judiciaires d'appel à 1'200 fr., les met à la charge de A______ et les compense avec l'avance de frais de même montant fournie par celui-ci, qui demeure acquise à l'Etat de Genève. Dit que chaque partie supporte ses propres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