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ACJC/1216/2012 vom 31. August 2012</w:t>
      </w:r>
    </w:p>
    <w:p>
      <w:r>
        <w:t>GE Cour de justice, 2012-08-31, FR</w:t>
      </w:r>
    </w:p>
    <w:p>
      <w:r>
        <w:rPr>
          <w:b/>
        </w:rPr>
        <w:t xml:space="preserve">Quelle: </w:t>
      </w:r>
      <w:r>
        <w:t>https://mcp.opencaselaw.ch/entscheid/ge_gerichte_ACJC_1216_2012</w:t>
      </w:r>
    </w:p>
    <w:p>
      <w:r>
        <w:t>FR: GE_GERICHTE ACJC/1216/2012 du 31 août 2012</w:t>
      </w:r>
    </w:p>
    <w:p>
      <w:r>
        <w:t>IT: GE_GERICHTE ACJC/1216/2012 del 31 agosto 2012</w:t>
      </w:r>
    </w:p>
    <w:p>
      <w:pPr>
        <w:pStyle w:val="Heading2"/>
      </w:pPr>
      <w:r>
        <w:t>Regeste</w:t>
      </w:r>
    </w:p>
    <w:p>
      <w:r>
        <w:t>Résumé: Il n'existe, sur le plan cantonal, ni appel ni recours indépendant contre la décision rendue sur une requête en restitution.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ad art. 149 CPC; ZPO-Kurzkomm. GASSER/RICKLI, n. 2 ad art. 149 CPC; GOZZI in ZPO-Baslerkomm. n. 10/11 ad art. 149 CPC; ZPO-Komm. BAKER/MACKENZIE, n. 4/5 ad art. 149 CPC; MERZ in ZPO-Komm. BRUNNER/GASSER/SCHWANDER, n. 6 ad art. 149 CPC; HOFMANN-NOVOTNY, in OBERHAMMER ZPO-Kurzkomm., n. 5 ad art. 149 CPC; TAPPY, in Comm. romand du CPC, n. 12/14 ad art. 149 CPC; d'un autre avis, mais isolé: SUTTER-SOMM, Schw.ZPR, Zürich 2007, n. 949);</w:t>
      </w:r>
    </w:p>
    <w:p>
      <w:r>
        <w:t>- 3/4 -</w:t>
      </w:r>
    </w:p>
    <w:p>
      <w:r>
        <w:t>C/23432/2011 Qu'en l'espèce, A_______ a choisi de procéder par deux recours indépendants et séparés, formés l'un à l'encontre de la décision sur requête de restitution et l'autre à l'encontre du jugement de mainlevée et qu'il n'appartient pas à la Cour de corriger ce choix; Que, par conséquent, l'irrecevabilité du recours indépendant formé par A_______ à l'encontre de l'ordonnance du 18 mai 2012 doit être prononcée; Considérant que les frais judicaires de la procédure devant la Cour, arrêtés à 100 fr., doivent être mis à la charge de A_______, qui succombe (art. 107 al. 1 CPC), et qu'ils sont entièrement couverts par l'avance de frais de même montant, qui est, partant, acquise à l'Etat (art. 111 al. 1 CPC); Que l'intimée ayant répondu au recours par l'entremise d'un avocat, A_______ sera condamné à lui verser 100 fr. TTC à titre de dépens (soit 25% de 960 fr. selon art. 85 du Règlement genevois fixant le tarif des greffes en matière civile (RTFMC, E 1 05.10, réduit de 2/3 en application des art. 89 et 90 dudit Règlement et adaptés en fonction du travail accompli et de la responsabilité encourue (art. 16 al. 1 LaCC), + 8% de TVA). * * * * *</w:t>
      </w:r>
    </w:p>
    <w:p>
      <w:r>
        <w:t>- 4/4 -</w:t>
      </w:r>
    </w:p>
    <w:p>
      <w:r>
        <w:t>C/23432/2011 PAR CES MOTIFS, La Chambre civile : Déclare irrecevable le recours indépendant interjeté par A_______ contre l'ordonnance OTPI/622/2012 rendue le 18 mai 2012 par le Tribunal de première instance dans la cause C/23432/2011-5 SML. Fixe les frais judiciaires de la procédure de recours à 100 fr., les met à la charge de A_______, et constate qu'ils sont entièrement couverts par l'avance de frais de même montant, laquelle est acquise à l'Etat. Condamne A_______ à verser à B_______SA 100 fr. TTC à titre de dépens. Déboute les parties de toutes autres conclusions. Siégeant : Madame Marguerite JACOT-DES-COMBES, présidente; Monsieur Jean-Marc STRUBIN et Madame Sylvie DROIN, juges; Madame Céline FERREIRA, greffière.</w:t>
      </w:r>
    </w:p>
    <w:p>
      <w:r>
        <w:t>La présidente : Marguerite JACOT-DES-COMBES</w:t>
      </w:r>
    </w:p>
    <w:p>
      <w:r>
        <w:t>La greffière : Céline FERREIRA</w:t>
      </w:r>
    </w:p>
    <w:p>
      <w:r>
        <w:t>Indication des voies de recours :</w:t>
      </w:r>
    </w:p>
    <w:p>
      <w:r>
        <w:t>Conformément aux art. 113 ss de la loi fédérale sur le Tribunal fédéral du 17 juin 2005 (LTF: RS 173.110), le présent arrêt peut être porté dans les trente jours qui suivent sa notification avec expédition complète (art 100 al. 1 LTF) par devant le Tribunal fédéral par la voie du recours constitutionnel subsidiaire.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