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ACJC/1215/2017 vom 12. Juni 2017</w:t>
      </w:r>
    </w:p>
    <w:p>
      <w:r>
        <w:t>GE Cour de justice, 2017-06-12, FR</w:t>
      </w:r>
    </w:p>
    <w:p>
      <w:r>
        <w:rPr>
          <w:b/>
        </w:rPr>
        <w:t xml:space="preserve">Quelle: </w:t>
      </w:r>
      <w:r>
        <w:t>https://mcp.opencaselaw.ch/entscheid/ge_gerichte_ACJC_1215_2017</w:t>
      </w:r>
    </w:p>
    <w:p>
      <w:r>
        <w:t>FR: GE_GERICHTE ACJC/1215/2017 du 12 juin 2017</w:t>
      </w:r>
    </w:p>
    <w:p>
      <w:r>
        <w:t>IT: GE_GERICHTE ACJC/1215/2017 del 12 giugno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w:t>
      </w:r>
    </w:p>
    <w:p>
      <w:r>
        <w:t>- 5/9 -</w:t>
      </w:r>
    </w:p>
    <w:p>
      <w:r>
        <w:t>C/25985/2016 En l'espèce, l'appel a été introduit en temps utile, selon la forme prescrite par la loi (art. 311 al. 1 CPC), et porte sur des conclusions qui, capitalisées selon l'art. 92 al. 2 CPC, sont supérieures à 10'000 fr. Il est donc recevable.</w:t>
      </w:r>
    </w:p>
    <w:p>
      <w:r>
        <w:rPr>
          <w:b/>
        </w:rPr>
        <w:t>E. 1.2</w:t>
      </w:r>
    </w:p>
    <w:p>
      <w:r>
        <w:t>La Cour revoit la cause avec un plein pouvoir d'examen (art. 310 CPC). Les mesures protectrices de l'union conjugale (art. 172 à 179 CC) étant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S'agissant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w:t>
      </w:r>
    </w:p>
    <w:p>
      <w:r>
        <w:rPr>
          <w:b/>
        </w:rPr>
        <w:t>E. 1.3</w:t>
      </w:r>
    </w:p>
    <w:p>
      <w:r>
        <w:t>L'appelante a joint 23 pièces à son acte d'appel et a encore déposé ultérieurement trois pièces.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Après comparaison attentive des pièces produites avec l'appel, il apparait qu'elles correspondent, mais dans un ordre différent, à celles produites devant le Tribunal. Il ne s'agit donc pas de pièces nouvelles et la question de leur recevabilité ne se pose dès lors pas. Les trois pièces déposées le 28 juin 2017 sont en revanche des pièces nouvelles. L'appelante ne se détermine d'aucune manière sur leur recevabilité. Dans la mesure où il s'agit de procès-verbaux datant de janvier 2017, il doit être admis, en l'absence d'explication à cet égard, qu'ils auraient pu être demandés au Ministère public et produits avant que le Tribunal ne garde la cause à juger le 8 juin 2017. Les pièces nouvelles sont donc irrecevables. Elles sont, en tout état de cause, sans pertinence pour l'issue du litige.</w:t>
      </w:r>
    </w:p>
    <w:p>
      <w:r>
        <w:rPr>
          <w:b/>
        </w:rPr>
        <w:t>E. 2</w:t>
      </w:r>
    </w:p>
    <w:p>
      <w:r>
        <w:t>L'appelante conteste devoir verser une contribution d'entretien à son époux. Elle soutient qu'un montant de 1'500 fr. devrait être retenu à titre de loyer la concernant et qu'elle doit s'acquitter de la somme de 550 fr. à titre de remboursement des emprunts qu'elle a contractés. Un revenu hypothétique devrait en outre être imputé à l'intimé.</w:t>
      </w:r>
    </w:p>
    <w:p>
      <w:r>
        <w:t>- 6/9 -</w:t>
      </w:r>
    </w:p>
    <w:p>
      <w:r>
        <w:t>C/25985/2016</w:t>
      </w:r>
    </w:p>
    <w:p>
      <w:r>
        <w:rPr>
          <w:b/>
        </w:rPr>
        <w:t>E. 2.1</w:t>
      </w:r>
    </w:p>
    <w:p>
      <w:r>
        <w:t>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5A_304/2013 du 1er novembre 2013 consid. 4.1; 5A_710/2009 consid.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5A_547/2012 du 14 mars 2013 consid. 4.1 La détermination de la quotité de la contribution d'entretien relève du pouvoir d'appréciation du juge, qui applique les règles du droit et de l'équité (art. 4 CC).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p. 108; 128 III 4 consid. 4a p. 5).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et la jurisprudence mentionnée; arrêts 5A_836/2015 du 8 avril 2016 consid. 4.1; 5A_144/2015 du 13 août 2015 consid. 3.3.3; 5A_939/2014 du 12 août 2015 consid. 4.1).</w:t>
      </w:r>
    </w:p>
    <w:p>
      <w:r>
        <w:rPr>
          <w:b/>
        </w:rPr>
        <w:t>E. 2.2</w:t>
      </w:r>
    </w:p>
    <w:p>
      <w:r>
        <w:t>En l'espèce, le Tribunal a arrêté les charges de l'appelante à 3'733 fr. 55. Il n'a pas tenu compte du montant mensuel dû en relation avec le prêt de la X______. Celui-ci a toutefois été contracté durant la vie commune et il est vraisemblable qu'il a servi à l'entretien des deux époux, faute d'élément permettant de retenir le contraire, de sorte que le montant de la mensualité de 301 fr. doit être pris en</w:t>
      </w:r>
    </w:p>
    <w:p>
      <w:r>
        <w:t>- 7/9 -</w:t>
      </w:r>
    </w:p>
    <w:p>
      <w:r>
        <w:t>C/25985/2016 compte dans le budget de l'appelante (cf. ATF 127 III 289 consid. 2a/bb et les références). En revanche, la seule déclaration écrite de sa sœur de novembre 2016 ne permet pas de retenir le remboursement effectif, régulier et actuel du montant mensuel de 250 fr. Quant au loyer à prendre en compte, l'appelante soutient que celui-ci serait de 1'500 fr. pour un logement de trois pièces et que le montant de 1'200 fr. ne correspond pas "à la réalité du marché locatif à Genève". Elle n'étaye toutefois d'aucune manière son allégation ni n'explique sur quoi elle se fonde, de sorte qu'il ne peut être retenu que le jugement du Tribunal serait erroné à cet égard. Il sera relevé que selon les statistiques cantonales, le loyer d'un tel appartement, en mai 2017, était de 1'217 fr. Il en résulte que les charges de l'appelante peuvent être évaluées à 4'034 fr. (3'733 fr. + 301 fr.). Elle dispose dès lors d'un solde qui peut être évalué à 818 fr. (4'852 fr. – 4'034 fr.). Concernant l'imputation d'un revenu hypothétique à l'intimé, l'appelante soutient qu'il exerce diverses activités dans plusieurs villes. Elle se réfère notamment à un article de 2014 dans lequel il indique qu'il se consacre à la photographie artistique, qu'il a fait plusieurs expositions et publié un livre de photographie et de poésie en 2011. Il ne peut être déduit de ces déclarations qu'il percevrait actuellement un revenu de telles activités. Il en va de même de l'attestation de l'ambassade d'Espagne qui indique "appuyer" le travail de l'intimé, sans parler de soutien financier, ou de l'article en langue étrangère publié sur internet dont la traduction n'a, quoi qu'il en soit, pas été produite et qui ne rend pas vraisemblable que l'intimé développerait une activité à même de lui procurer des revenus. Enfin, contrairement à ce que l'appelante indique, le contrat de travail produit date de 2007, et non de 2017. Il a été conclu pour une durée de un an, et cela avant le mariage. Il ne permet donc pas de retenir que durant celui-ci l'intimé aurait exercé l'activité lucrative invoquée et que tel pourrait être encore actuellement le cas. Pour le surplus, il n'est pas rendu vraisemblable que durant la vie commune, l'intimé aurait participé de manière régulière ou significative aux frais du ménage. L'appelante a d'ailleurs indiqué dans sa requête au Tribunal que l'intimé vivait complétement à sa charge depuis le début du mariage. Enfin, l'âge de l'appelant, soit 61 ans, complique ses recherches pour obtenir un emploi salarié. Ainsi, en définitive, il ne peut être retenu que l'intimé perçoit des revenus de ses activités artistiques ou qu'il pourrait en percevoir en faisant les efforts qui peuvent être attendus de lui. Aucun revenu hypothétique ne sera donc imputé à l'intimé. Son budget présente ainsi un déficit équivalant au montant de ses charges, soit 2'539 fr.</w:t>
      </w:r>
    </w:p>
    <w:p>
      <w:r>
        <w:t>- 8/9 -</w:t>
      </w:r>
    </w:p>
    <w:p>
      <w:r>
        <w:t>C/25985/2016 Au vu du disponible de l'appelante évalué à 818 fr., du déficit de l'intimé et des conclusions de ce dernier, c'est à bon droit que le Tribunal a fixé à 500 fr. le montant de la contribution d'entretien. Pour le surplus, le fait que par le passé, l'appelante n'ait pas été rémunérée pour avoir posé comme modèle pour l'intimé, les violences pendant la vie commune alléguées ou le temps écoulé depuis la séparation des parties ne sont pas des motifs permettant, en eux-mêmes, de dénier le droit de l'intimé à bénéficier d'une contribution d'entretien. L'appel n'est dès lors pas fondé. Le chiffre 2 du dispositif du jugement attaqué sera confirmé.</w:t>
      </w:r>
    </w:p>
    <w:p>
      <w:r>
        <w:rPr>
          <w:b/>
        </w:rPr>
        <w:t>E. 3</w:t>
      </w:r>
    </w:p>
    <w:p>
      <w:r>
        <w:t>Les frais judiciaires d'appel, arrêtés à 1'000 fr. (art. 17, 18, 28 et 35 RTFMC), seront mis à la charge de l'appelante, qui succombe (art. 106 CPC) et compensés avec l'avance fournie, qui reste acquise à l'Etat de Genève (art. 111 al. 1 CPC).</w:t>
      </w:r>
    </w:p>
    <w:p>
      <w:r>
        <w:t>Compte tenu de la nature familiale du litige, chacune des parties supportera ses propres dépens d'appel (art. 107 al. 1 let. c CPC). * * * * * *</w:t>
      </w:r>
    </w:p>
    <w:p>
      <w:r>
        <w:t>- 9/9 -</w:t>
      </w:r>
    </w:p>
    <w:p>
      <w:r>
        <w:t>C/25985/2016 PAR CES MOTIFS, La Chambre civile : A la forme : Déclare recevable l'appel interjeté par A______ contre le jugement JTPI/7661/2017 rendu le 12 juin 2017 par le Tribunal de première instance dans la cause C/25985/2016-16. Au fond : Confirme ce jugement. Déboute les parties de toutes autres conclusions. Sur les frais : Arrête les frais judiciaires à 1'000 fr., les met à la charge d'A______ et les compense avec l'avance fournie, qui reste acquise à l'Etat de Genève. Dit que chaque partie supporte ses propres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