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ACJC/1213/2020 vom 17. September 2020</w:t>
      </w:r>
    </w:p>
    <w:p>
      <w:r>
        <w:t>GE Cour de justice, 2020-09-17, FR</w:t>
      </w:r>
    </w:p>
    <w:p>
      <w:r>
        <w:rPr>
          <w:b/>
        </w:rPr>
        <w:t xml:space="preserve">Quelle: </w:t>
      </w:r>
      <w:r>
        <w:t>https://mcp.opencaselaw.ch/entscheid/ge_gerichte_ACJC_1213_2020</w:t>
      </w:r>
    </w:p>
    <w:p>
      <w:r>
        <w:t>FR: GE_GERICHTE ACJC/1213/2020 du 17 septembre 2020</w:t>
      </w:r>
    </w:p>
    <w:p>
      <w:r>
        <w:t>IT: GE_GERICHTE ACJC/1213/2020 del 17 settembre 2020</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qu'en l'espèce, le litige porte, notamment, sur les droits parentaux, soit sur une affaire non pécuniaire dans son ensemble, la voie de l'appel est ouverte indépendamment de la valeur litigieuse (arrêts du Tribunal fédéral 5A_781/2015 du 14 mars 2016 consid. 1; 5A_331/2015 du 20 janvier 2016 consid. 1; 5A_765/2012 du 19 février 2013 consid. 1.1).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w:t>
      </w:r>
    </w:p>
    <w:p>
      <w:r>
        <w:rPr>
          <w:b/>
        </w:rPr>
        <w:t>E. 1.2</w:t>
      </w:r>
    </w:p>
    <w:p>
      <w:r>
        <w:t>La Cour revoit la cause en fait et en droit avec un plein pouvoir d'examen (art. 310 CPC).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Les parties ont produit des pièces nouvelles en appel relatives à leur situation personnelle et financière, ainsi qu'à celle de leur enfant.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Les pièces nouvelles produites en appel sont, dès lors, recevables.</w:t>
      </w:r>
    </w:p>
    <w:p>
      <w:r>
        <w:t>- 10/18 -</w:t>
      </w:r>
    </w:p>
    <w:p>
      <w:r>
        <w:t>C/22893/2019</w:t>
      </w:r>
    </w:p>
    <w:p>
      <w:r>
        <w:rPr>
          <w:b/>
        </w:rPr>
        <w:t>E. 2</w:t>
      </w:r>
    </w:p>
    <w:p>
      <w:r>
        <w:t>octobre 1973 sur la loi applicable aux obligations alimentaires ) au présent litige.</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4</w:t>
      </w:r>
    </w:p>
    <w:p>
      <w:r>
        <w:t>L'appelante sollicite, préalablement, la production par l'intimé de pièces relatives à sa situation financière.</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w:t>
      </w:r>
    </w:p>
    <w:p>
      <w:r>
        <w:t>- 11/18 -</w:t>
      </w:r>
    </w:p>
    <w:p>
      <w:r>
        <w:t>C/22893/2019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4.2</w:t>
      </w:r>
    </w:p>
    <w:p>
      <w:r>
        <w:t>En l'espèce, au vu des pièces produites par l'intimé et du principe de célérité applicable à la présente procédure sommaire, la Cour s'estime, à ce stade, suffisamment renseignée sur la situation des parties, en particulier celle de l'intimé, de sorte qu'il ne sera pas donné suite à la requête de l'appelante.</w:t>
      </w:r>
    </w:p>
    <w:p>
      <w:r>
        <w:rPr>
          <w:b/>
        </w:rPr>
        <w:t>E. 5</w:t>
      </w:r>
    </w:p>
    <w:p>
      <w:r>
        <w:t>L'appelante remet en cause le droit de visite sur D______ fixé par le premier juge. Elle lui reproche de s'être écarté sans raison des recommandations du SEASP, d'avoir considéré que, malgré la situation personnelle précaire et la fragilité psychologique de l'intimé, il n'était pas nécessaire de soumettre les relations personnelles à l'évaluation d'un tiers compétent, ne serait-ce pour une durée limitée, d'imposer à C______ de devoir accompagner son frère lors de l'exercice du droit de visite de ce dernier, une telle responsabilité étant contre-indiquée. Elle considère qu'il est insoutenable pour elle-même qu'il lui soit imposé de passer trois heures chaque week-end avec son époux, alors qu'il exerce régulièrement des menaces et des pressions sur elle et que la solution retenue par le premier juge revient à lui faire supporter toute l'organisation des relations personnelles alors que cela n'est pas son rôle. L'intimé considère, qu'au vu du droit de visite actuellement exercé, qui se déroule bien, le passage en Point Rencontre constituerait une régression injustifiée, contraire à l'intérêt de D______. L'évolution des relations personnelles démontrerait la capacité des parents à se parler et à trouver des accords dans l'intérêt des enfants, ainsi que sa propre capacité à s'occuper seul de D______. C______ n'était en rien responsable et garant du droit de visite sur son frère. Les parents s'étaient en tout état accordés pour que l'intimé voie D______ seul sans attendre le palier de trois mois prévu par le jugement.</w:t>
      </w:r>
    </w:p>
    <w:p>
      <w:r>
        <w:rPr>
          <w:b/>
        </w:rPr>
        <w:t>E. 5.1</w:t>
      </w:r>
    </w:p>
    <w:p>
      <w:r>
        <w:t>Selon l'art. 176 al. 3 CC relatif à l'organisation de la vie séparée, lorsque les époux ont des enfants mineurs, le juge ordonne les mesures nécessaires, d'après les dispositions sur les effets de la filiation (cf. art. 273 ss CC); il peut notamment attribuer la garde à un seul des parents et statuer sur les relations personnelles (art. 298 al. 2 CC).</w:t>
      </w:r>
    </w:p>
    <w:p>
      <w:r>
        <w:t>- 12/18 -</w:t>
      </w:r>
    </w:p>
    <w:p>
      <w:r>
        <w:t>C/22893/2019</w:t>
      </w:r>
    </w:p>
    <w:p>
      <w:r>
        <w:rPr>
          <w:b/>
        </w:rPr>
        <w:t>E. 5.2</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arrêts du Tribunal fédéral 5A_497/2017 du 7 juin 2018 consid. 4.1; 5A_618/2017 du 2 février 2018 consid. 4.2; 5A_184/2017 du 9 juin 2017 consid. 4.1 et les références citées). A cet égard, il est unanimement reconnu que le rapport de l'enfant avec ses deux parents est essentiel et qu'il peut jouer un rôle décisif dans le processus de recherche d'identité de l'enfant (ATF 130 III 585 consid. 2.2.2; 127 III 295 consid. 4a; 123 III 445 consid. 3c; arrêts du Tribunal fédéral 5A_887/2017 du 16 février 2018 consid. 5.3; 5A_184/2017 du 8 juin 2017 consid. 4.1;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arrêts du Tribunal fédéral 5A_618/2017 du 2 février 2018 consid. 4.2; 5A_699/2017 du 24 octobre 2017 consid. 5.1; 5A_184/2017 du 9 juin 2017 consid. 4.1 et les références citées).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5A_618/2017 du 2 février 2018 consid. 4.2; 5A_699/2017 du 24 octobre 2017 consid. 5.1; 5A_184/2017 du 9 juin 2017 consid. 4.1 et les références citées).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du Tribunal fédéral 5A_618/2017 du 2 février 2018 consid. 4.2; 5A_699/2017 du 24 octobre 2017 consid. 5.1; 5A_184/2017 du 9 juin 2017 consid. 4.1).</w:t>
      </w:r>
    </w:p>
    <w:p>
      <w:r>
        <w:t>- 13/18 -</w:t>
      </w:r>
    </w:p>
    <w:p>
      <w:r>
        <w:t>C/22893/2019 L'établissement d'un droit de visite surveillé nécessite des indices concrets de mise en danger du bien de l'enfant; il ne suffit pas que ce dernier risque abstraitement de subir une mauvaise influence pour qu'un tel droit de visite soit instauré (ATF 122 III 404 consid. 3c; arrêts du Tribunal fédéral 5A_618/2017 du 2 février 2018 consid. 4.2; 5A_184/2017 du 9 juin 2017 consid. 4.1 et les références citées). Il convient dès lors de faire preuve d'une certaine retenue lors du choix de cette mesure (arrêts du Tribunal fédéral 5A_618/2017 du 2 février 2018 consid. 4.2; 5A_699/2017 du 24 octobre 2017 consid. 5.1; 5A_184/2017 du 9 juin 2017 consid. 4.1; 5A_401/2014 du 18 août 2014 consid. 3.2.2; 5A_699/2007 du 26 février 2008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5A_618/2017 du 2 février 2018 consid. 4.2; 5A_568/2017 du 21 novembre 2017 consid. 5.1; 5A_699/2017 du 24 octobre 2017 consid. 5.1; 5A_184/2017 du 9 juin 2017 consid. 4.1; 5A_728/2015 du 25 août 2016 consid. 2.2 et les références citées). Un droit de visite surveillé limité dans le temps dans la perspective qu'il soit ensuite assoupli progressivement est compatible avec le bien de l'enfant (arrêt du Tribunal fédéral 5A_102/2017 du 13 septembre 2017 consid. 4 et l'arrêt cité).</w:t>
      </w:r>
    </w:p>
    <w:p>
      <w:r>
        <w:rPr>
          <w:b/>
        </w:rPr>
        <w:t>E. 5.3</w:t>
      </w:r>
    </w:p>
    <w:p>
      <w:r>
        <w:t>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(ATF 142 III 617 consid. 3.2.3; arrêt du Tribunal fédéral 5A_805/2019 du 27 mars 2019 consid. 4.1 et les arrêts cités). Ainsi, le juge n'est pas lié par les conclusions du SEASP. Le rapport de ce service (lequel constitue une preuve au sens des art. 168 et 190 CPC) est soumis, à l'instar des autres preuves, au principe de la libre appréciation consacré par l'art. 157 CPC (HAFNER, Basler Kommentar, Schweizerische Zivilprozessordnung, 2017, n. 4 ad art. 190 CPC ; WEIBEL/NAEGELI, Kommentar zur Schweizerischen Zivilprozess- 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w:t>
      </w:r>
    </w:p>
    <w:p>
      <w:r>
        <w:t>- 14/18 -</w:t>
      </w:r>
    </w:p>
    <w:p>
      <w:r>
        <w:t>C/22893/2019 consid. 3.1.2; ACJC/993/2017 du 10 août 2017 consid. 5.1; ACJC/372/2017 du 28 mars 2017 consid. 5.1).</w:t>
      </w:r>
    </w:p>
    <w:p>
      <w:r>
        <w:rPr>
          <w:b/>
        </w:rPr>
        <w:t>E. 5.4</w:t>
      </w:r>
    </w:p>
    <w:p>
      <w:r>
        <w:t>En l'espèce, il convient, à l'instar du premier juge, de retenir que, si l'exercice du droit de visite au sein d'un Point Rencontre pouvait se justifier au moment où le SEASP a rendu son rapport, force est de constater que la situation a considérablement évolué depuis lors, au point qu'en mai ou juin 2020, la mère a à deux reprises demandé au père de prendre en charge D______ seul (pour aller le chercher à l'école, lui préparer le repas de midi et le ramener à l'école) et qu'elle n'a rapporté aucun incident s'agissant de ces visites. Il apparaît ainsi que les parents sont capables de communiquer dans l'intérêt des enfants, que la mère a de son propre chef renoncé à une surveillance des relations personnelles et que, contrairement aux craintes qu'elle exprime dans son appel, elle considère, dans les faits, que le père présente une capacité parentale adéquate et des garanties suffisantes de stabilité psychique pour prendre en charge D______ sans la présence d'un tiers. Au vu de la situation, exiger que les relations personnelles soient exercées en un Point Rencontre constituerait un retour en arrière injustifié et risquerait de porter atteinte à la relation renouée entre le père et D______. Partant, il ne se justifie pas de remettre en cause le droit de visite fixé par le premier juge, étant relevé que les parents bénéficient du soutien apporté par la curatelle d'organisation et de surveillance du droit de visite instaurée par le Tribunal. Le chiffre 4 sera, par conséquent, confirmé.</w:t>
      </w:r>
    </w:p>
    <w:p>
      <w:r>
        <w:rPr>
          <w:b/>
        </w:rPr>
        <w:t>E. 6</w:t>
      </w:r>
    </w:p>
    <w:p>
      <w:r>
        <w:t>L'appelante réclame la fixation de contributions à l'entretien des enfants.</w:t>
      </w:r>
    </w:p>
    <w:p>
      <w:r>
        <w:t>Elle soutient que l'intimé n'a jamais cessé de travailler, que ses troubles de l'humeur et sa consommation de drogues ne sont pas nouveaux et qu'ils n'ont pas constitué un obstacle à son travail, qu'il n'a pas suffisamment justifié ses recherches d'emploi et qu'il convient de lui imputer un salaire hypothétique d'un montant compris entre environ 8'900 fr. et 11'000 fr. par mois.</w:t>
      </w:r>
    </w:p>
    <w:p>
      <w:r>
        <w:t>L'intimé affirme ne pas travailler, ne vivre que grâce au soutien de l'Hospice général et ne disposer d'aucune fortune.</w:t>
      </w:r>
    </w:p>
    <w:p>
      <w:r>
        <w:rPr>
          <w:b/>
        </w:rPr>
        <w:t>E. 6.1</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Même lorsqu'on ne peut plus sérieusement compter sur la reprise de la vie commune, l'art. 163 CC demeure la cause de l'obligation d'entretien réciproque</w:t>
      </w:r>
    </w:p>
    <w:p>
      <w:r>
        <w:t>- 15/18 -</w:t>
      </w:r>
    </w:p>
    <w:p>
      <w:r>
        <w:t>C/22893/2019 des époux. Pour fixer la contribution d'entretien due selon l'art. 176 al. 1 ch. 1 CC, le juge doit partir de la convention, expresse ou tacite, que les époux ont conclue au sujet de la répartition des tâches et des ressources entre eux durant la vie commune. La loi n'impose pas de méthode de calcul de la contribution d'entretien.</w:t>
      </w:r>
    </w:p>
    <w:p>
      <w:r>
        <w:rPr>
          <w:b/>
        </w:rPr>
        <w:t>E. 6.2</w:t>
      </w:r>
    </w:p>
    <w:p>
      <w:r>
        <w:t>Selon l'art. 285 al. 1 CC, les aliments doivent correspondre aux besoins de l'enfant ainsi qu'à la situation et aux ressources des père et mère.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 En tout état, le juge dispose d'un large pouvoir d'appréciation (art. 4 CC).</w:t>
      </w:r>
    </w:p>
    <w:p>
      <w:r>
        <w:rPr>
          <w:b/>
        </w:rPr>
        <w:t>E. 6.3</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w:t>
      </w:r>
    </w:p>
    <w:p>
      <w:r>
        <w:t>- 16/18 -</w:t>
      </w:r>
    </w:p>
    <w:p>
      <w:r>
        <w:t>C/22893/2019 l'Office fédéral de la statistique, ou sur d'autres sources (ATF 137 III 118 consid. 3.2; arrêts du Tribunal fédéral 5A_1008/2015 du 21 avril 2016 consid. 3.3.2; 5A_933/2015 du 23 février 2016 consid. 6.1).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5A_587/2013 du 26 novembre 2013 consid. 6.1.1; 5A_99/2011 du 26 septembre 2011 consid. 7.4.2).</w:t>
      </w:r>
    </w:p>
    <w:p>
      <w:r>
        <w:rPr>
          <w:b/>
        </w:rPr>
        <w:t>E. 6.4</w:t>
      </w:r>
    </w:p>
    <w:p>
      <w:r>
        <w:t>En l'espèce, s'il ressort, certes, des messages échangés par les parties que l'intimé pourrait avoir obtenu quelques mandats à titre indépendant, il ne saurait, néanmoins, être retenu que cette activité - vraisemblablement accessoire - lui assurerait des revenus réguliers et significatifs lui permettant de participer à l'entretien de ses enfants.</w:t>
      </w:r>
    </w:p>
    <w:p>
      <w:r>
        <w:t>Par ailleurs, en l'état, compte tenu de sa période de chômage, de son âge (55 ans), de son état de santé précaire (trouble sévère de l'humeur, suivi psychiatrique et consommation de stupéfiants) et de la situation actuelle du marché du travail qui ne lui est guère favorable compte tenu de la crise, il sera renoncé à imputer un revenu hypothétique à l'intimé à tout le moins au stade des mesures protectrices de l'union conjugale.</w:t>
      </w:r>
    </w:p>
    <w:p>
      <w:r>
        <w:t>C'est, ainsi, à raison que le premier juge a retenu qu'aucune contribution à l'entretien des enfants ne pouvait être mise à la charge de l'intimé.</w:t>
      </w:r>
    </w:p>
    <w:p>
      <w:r>
        <w:t>Par conséquent, le chiffre 6 du dispositif du jugement entrepris sera confirmé.</w:t>
      </w:r>
    </w:p>
    <w:p>
      <w:r>
        <w:rPr>
          <w:b/>
        </w:rPr>
        <w:t>E. 7</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 procédure d'appel seront fixés à 800 fr. (art. 31 et 35 RTFMC). Pour des motifs d'équité liés à la nature du litige, ils seront répartis à</w:t>
      </w:r>
    </w:p>
    <w:p>
      <w:r>
        <w:t>- 17/18 -</w:t>
      </w:r>
    </w:p>
    <w:p>
      <w:r>
        <w:t>C/22893/2019 parts égales entre les parties (art. 95, 104 al. 1, 105, 106 al. 1 et 107 al. 1 let. c CPC). Dans la mesure où elles plaident au bénéfice de l'assistance juridique, leurs frais judiciaires seront provisoirement supportés par l'Etat de Genève (art. 122 al. 1 let. b CPC), étant rappelé que les bénéficiaires de l'assistance juridique sont tenus au remboursement des frais judiciaires mis à la charge de l'Etat dans la mesure de l'art. 123 CPC (art. 19 RAJ). Pour les mêmes motifs, chaque partie supportera ses propres dépens (art. 107 al. 1 let. c CPC). * * * * *</w:t>
      </w:r>
    </w:p>
    <w:p>
      <w:r>
        <w:t>- 18/18 -</w:t>
      </w:r>
    </w:p>
    <w:p>
      <w:r>
        <w:t>C/22893/2019 PAR CES MOTIFS, La Chambre civile : A la forme : Déclare recevable l'appel interjeté le 11 mai 2020 par A______ contre les chiffres 4 et 6 du dispositif du jugement JTPI/4872/2020 rendu le 29 avril 2020 par le Tribunal de première instance dans la cause C/22893/2019-15. Au fond : Confirme les chiffres 4 et 6 du dispositif dudit jugement. Déboute les parties de toutes autres conclusions. Sur les frais : Arrête les frais judiciaires d'appel à 800 fr. et les met à la charge des parties par moitié chacune, à savoir 400 fr. à la charge de A______ et 400 fr. à la charge de B______. Dit qu'ils sont provisoirement supportés par l'Etat de Genève, vu l'octroi de l'assistance judiciaire. Dit que chaque partie supporte ses propres dépens d'appel. Siégeant : Madame Sylvie DROIN, présidente; Madame Nathalie LANDRY-BARTHE, Madame Pauline ERARD, juges; Madame Camille LESTEVEN, greffière.</w:t>
      </w:r>
    </w:p>
    <w:p>
      <w:r>
        <w:t>La présidente : Sylvie DROIN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