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ACJC/1213/2014 vom 10. Oktober 2014</w:t>
      </w:r>
    </w:p>
    <w:p>
      <w:r>
        <w:t>GE Cour de justice, 2014-10-10, FR</w:t>
      </w:r>
    </w:p>
    <w:p>
      <w:r>
        <w:rPr>
          <w:b/>
        </w:rPr>
        <w:t xml:space="preserve">Quelle: </w:t>
      </w:r>
      <w:r>
        <w:t>https://mcp.opencaselaw.ch/entscheid/ge_gerichte_ACJC_1213_2014</w:t>
      </w:r>
    </w:p>
    <w:p>
      <w:r>
        <w:t>FR: GE_GERICHTE ACJC/1213/2014 du 10 octobre 2014</w:t>
      </w:r>
    </w:p>
    <w:p>
      <w:r>
        <w:t>IT: GE_GERICHTE ACJC/1213/2014 del 10 ottobre 2014</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arts. 130 et 131 CPC, adressé à la Cour de justice (art. 120 al. 1 le. a LOJ). En l'espèce, le recours est recevable pour avoir été interjeté dans le délai et selon la forme prévus par la loi.</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1.3</w:t>
      </w:r>
    </w:p>
    <w:p>
      <w:r>
        <w:t>La procédure de mainlevée est régie par la maxime des débats (art. 55 al. 1 CPC). La preuve est apportée par titre (art. 254 al. 1 CPC).</w:t>
      </w:r>
    </w:p>
    <w:p>
      <w:r>
        <w:t>- 5/9 -</w:t>
      </w:r>
    </w:p>
    <w:p>
      <w:r>
        <w:t>C/21357/2013</w:t>
      </w:r>
    </w:p>
    <w:p>
      <w:r>
        <w:rPr>
          <w:b/>
        </w:rPr>
        <w:t>E. 2</w:t>
      </w:r>
    </w:p>
    <w:p>
      <w:r>
        <w:t>Il convient en premier lieu de déterminer si le Tribunal était ou non lié par le fait qu'il avait prononcé la mainlevée de l'opposition sur le siège lors de l'audience du 24 mars 2014.</w:t>
      </w:r>
    </w:p>
    <w:p>
      <w:r>
        <w:rPr>
          <w:b/>
        </w:rPr>
        <w:t>E. 2.1</w:t>
      </w:r>
    </w:p>
    <w:p>
      <w:r>
        <w:t>Selon l'art. 238 CPC, la décision contient la désignation et la composition du Tribunal, le lieu et la date de son prononcé, la désignation des parties et des personnes qui les représentent, le dispositif, l'indication des personnes et des autorités auxquelles elle est communiquée, l'indication des voies de recours, le cas échéant les considérants et la signature du Tribunal. Les décisions qui n'ont pas été notifiées à l'intéressé ne produisent en principe aucun effet juridique (ATF 122 I 97 consid. 3a/bb), respectivement, n'entrent pas en force de chose jugée (ATF 130 III 396 consid. 1.3, JdT 2005 II 87; arrêt du Tribunal fédéral 5A_598/2012 du 4 décembre 2012 consid. 3.2). En tant que manifestation de volonté du juge au terme du procès, le jugement doit être déclaré. Il n'existe légalement qu'une fois qu'il a été officiellement communiqué aux parties. Tant qu'il ne l'a pas été, il est inexistant, il n'est qu'un projet. D'ailleurs, selon la doctrine, le terme du procès n'est pas le jugement arrêté dans le sein du tribunal, mais le jugement communiqué aux parties, soit oralement, soit par notification écrite. Ce n'est qu'à partir de cette communication que, conformément à l'adage latin "lata sententia, judex desinit judex esse", le juge ne peut plus modifier son jugement, qu'il en est dessaisi (ATF 121 I 97 consid. 3a/bb).</w:t>
      </w:r>
    </w:p>
    <w:p>
      <w:r>
        <w:rPr>
          <w:b/>
        </w:rPr>
        <w:t>E. 2.2</w:t>
      </w:r>
    </w:p>
    <w:p>
      <w:r>
        <w:t>En l'espèce, il convient de retenir que le prononcé par le Tribunal de la mainlevée provisoire lors de l'audience du 24 mars 2014 ne déploie aucun effet juridique. En effet, le procès-verbal de cette audience ne contient pas les éléments qui doivent, à teneur du CPC, figurer dans une décision, puisqu'il n'est en particulier pas signé par le Tribunal, ne comporte pas de dispositif à proprement parler et ne mentionne ni la communication aux parties ni les voies de recours. Ce document n'a en outre pas été notifié aux parties de sorte qu'il ne produit aucun effet juridique. Le Tribunal n'était par conséquent pas lié par le prononcé, sur le siège, de la mainlevée provisoire de l'opposition lors de l'audience du 24 mars 2014.</w:t>
      </w:r>
    </w:p>
    <w:p>
      <w:r>
        <w:rPr>
          <w:b/>
        </w:rPr>
        <w:t>E. 3</w:t>
      </w:r>
    </w:p>
    <w:p>
      <w:r>
        <w:t>La recourante fait valoir que son droit d'être entendu a été violé car le Tribunal ne lui a pas communiqué, avant le jugement du 20 juin 2014, la détermination écrite expédiée par l'intimée le 21 mars 2014.</w:t>
      </w:r>
    </w:p>
    <w:p>
      <w:r>
        <w:rPr>
          <w:b/>
        </w:rPr>
        <w:t>E. 3.1</w:t>
      </w:r>
    </w:p>
    <w:p>
      <w:r>
        <w:t>Selon l'art. 53 al. 1 CPC, les parties ont le droit d'être entendues. Elles ont notamment le droit de consulter le dossier et de s'en faire délivrer copie, pour</w:t>
      </w:r>
    </w:p>
    <w:p>
      <w:r>
        <w:t>- 6/9 -</w:t>
      </w:r>
    </w:p>
    <w:p>
      <w:r>
        <w:t>C/21357/2013 autant qu'aucun intérêt prépondérant public ou privé ne s'y oppose (art. 53 al. 2 CPC). Ce droit est également garanti par les arts. 29 al. 2 Cst et 6 ch. 1 CEDH.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 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5A_535/2012 du 6 décembre 2012 consid. 2.3; arrêt du Tribunal fédéral 4A_29/2014 du 7 mai 2014 consid. 3).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3.2</w:t>
      </w:r>
    </w:p>
    <w:p>
      <w:r>
        <w:t>En l'espèce, le Tribunal a pris en compte la détermination spontanément déposée par l'intimée le 21 mars 2014 pour rendre son jugement, puisqu'il s'y réfère expressément dans les considérants de sa décision. Cette détermination n'a cependant été communiquée à la recourante qu'après le prononcé du jugement. Celle-ci n'a ainsi pas eu l'occasion de se déterminer sur les arguments de sa partie adverse en temps utile. La Cour retiendra par conséquent que le droit d'être entendu de la recourante a été violé. Conformément à la jurisprudence précitée, cette violation doit conduire à l'annulation de la décision attaquée et au renvoi de la cause au Tribunal. En effet, dans la mesure où l'instance de céans ne dispose que d'un pouvoir d'examen restreint à la violation du droit et à la constatation manifestement inexacte des</w:t>
      </w:r>
    </w:p>
    <w:p>
      <w:r>
        <w:t>- 7/9 -</w:t>
      </w:r>
    </w:p>
    <w:p>
      <w:r>
        <w:t>C/21357/2013 faits, la violation du droit d'être entendu de la recourante ne peut pas être réparée dans le cadre du présent recours.</w:t>
      </w:r>
    </w:p>
    <w:p>
      <w:r>
        <w:rPr>
          <w:b/>
        </w:rPr>
        <w:t>E. 4</w:t>
      </w:r>
    </w:p>
    <w:p>
      <w:r>
        <w:t>Les frais du recours seront mis à la charge de l'intimée qui succombe (art. 106 al. 1 CPC). Ils comprennent l'émolument de décision de 600 fr. (48 et 61 al. 1 OELP), qui est entièrement couvert par l'avance de frais effectuée par la recourante, laquelle est acquise à l'Etat de Genève (art. 111 al. 1 CPC). L'intimée devra par conséquent rembourser ce montant à la recourante (art. 111 al. 2 CPC).</w:t>
      </w:r>
    </w:p>
    <w:p>
      <w:r>
        <w:t>L'intimée supportera également les dépens du recours alloués à la recourante, arrêtés pour la seconde instance à 1'000 fr. débours et TVA compris (art. 85, 89 et 90 RTFMC). * * * * *</w:t>
      </w:r>
    </w:p>
    <w:p>
      <w:r>
        <w:t>- 8/9 -</w:t>
      </w:r>
    </w:p>
    <w:p>
      <w:r>
        <w:t>C/21357/2013 PAR CES MOTIFS, La Chambre civile : A la forme : Déclare recevable le recours interjeté le 4 juillet 2014 par A______ contre le jugement JTPI/7894/2014 rendu le 20 juin 2014 par le Tribunal de première instance dans la cause C/21357/2013-1 SML. Au fond : Annule ce jugement. Cela fait : Renvoie la cause au Tribunal de première instance pour nouvelle décision. Sur les frais : Arrête les frais judiciaires du recours à 600 fr. et les met à la charge de B______. Dit qu'ils sont compensés par l'avance de frais fournie par A______ laquelle reste acquise à l'Etat de Genève. Condamne B______ à verser à A______ 600 fr. au titre des frais judiciaires. Condamne B______ à verser à A______ 1'000 fr. au titre de dépens du recours. Siégeant : Monsieur Laurent RIEBEN, président; Madame Pauline ERARD et Madame Fabienne GEISINGER-MARIÉTHOZ, juges; Madame Céline FERREIRA, greffière.</w:t>
      </w:r>
    </w:p>
    <w:p>
      <w:r>
        <w:t>Le président : Laurent RIEBEN</w:t>
      </w:r>
    </w:p>
    <w:p>
      <w:r>
        <w:t>La greffière : Céline FERREIRA</w:t>
      </w:r>
    </w:p>
    <w:p>
      <w:r>
        <w:t>- 9/9 -</w:t>
      </w:r>
    </w:p>
    <w:p>
      <w:r>
        <w:t>C/21357/2013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