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ACJC/1212/2016 vom 9. September 2016</w:t>
      </w:r>
    </w:p>
    <w:p>
      <w:r>
        <w:t>GE Cour de justice, 2016-09-09, FR</w:t>
      </w:r>
    </w:p>
    <w:p>
      <w:r>
        <w:rPr>
          <w:b/>
        </w:rPr>
        <w:t xml:space="preserve">Quelle: </w:t>
      </w:r>
      <w:r>
        <w:t>https://mcp.opencaselaw.ch/entscheid/ge_gerichte_ACJC_1212_2016</w:t>
      </w:r>
    </w:p>
    <w:p>
      <w:r>
        <w:t>FR: GE_GERICHTE ACJC/1212/2016 du 9 septembre 2016</w:t>
      </w:r>
    </w:p>
    <w:p>
      <w:r>
        <w:t>IT: GE_GERICHTE ACJC/1212/2016 del 9 settembre 2016</w:t>
      </w:r>
    </w:p>
    <w:p>
      <w:pPr>
        <w:pStyle w:val="Heading2"/>
      </w:pPr>
      <w:r>
        <w:t>Erwägungen</w:t>
      </w:r>
    </w:p>
    <w:p>
      <w:r>
        <w:rPr>
          <w:b/>
        </w:rPr>
        <w:t>E. 1.1</w:t>
      </w:r>
    </w:p>
    <w:p>
      <w:r>
        <w:t>L'appel est recevable contre les jugements de mesures protectrices - qui doivent être considérés comme des décisions provisionnelles au sens de l'art. 308 al. 1 let. b CPC - dans les causes non patrimoniales ou dont la valeur litigieuse au dernier état des conclusions devant l'autorité inférieure est supérieure à 10'000 fr. (art. 308 al. 2 CPC). Les jugements de mesures protectrices étant régis par la procédure sommaire selon l'art. 271 CPC, le délai d'introduction de l'appel est de dix jours (art. 314 al. 1 CPC).</w:t>
      </w:r>
    </w:p>
    <w:p>
      <w:r>
        <w:rPr>
          <w:b/>
        </w:rPr>
        <w:t>E. 1.2</w:t>
      </w:r>
    </w:p>
    <w:p>
      <w:r>
        <w:t>En l'espèce, l'appel a été introduit en temps utile, selon la forme prescrite par la loi (art. 311 al. 1 CPC), et porte sur des conclusions qui, capitalisées selon l'art. 92 al. 2 CPC, sont supérieures à 10'000 fr. Il est donc recevable.</w:t>
      </w:r>
    </w:p>
    <w:p>
      <w:r>
        <w:rPr>
          <w:b/>
        </w:rPr>
        <w:t>E. 2</w:t>
      </w:r>
    </w:p>
    <w:p>
      <w:r>
        <w:t>La Cour revoit la cause avec un plein pouvoir d'examen (art. 310 CPC), sa cognition étant toutefois limitée à la simple vraisemblance des faits et à un examen sommaire du droit, l'exigence de célérité étant privilégiée par rapport à celle de sécurité (ATF 127 III 474 consid. 2b/bb, JdT 2002 I 352; arrêt du Tribunal fédéral 5A_762/2013 du 27 mars 2014 consid. 2.2). La fixation de la contribution d'entretien du conjoint dans le cadre de mesures protectrices de l'union conjugale est soumise à la maxime de disposition (art. 58 CPC; ATF 129 III 417 consid. 2.1.2; arrêt du Tribunal fédéral 5A_421/2015 du 21 janvier 2016 consid. 6.2.3).</w:t>
      </w:r>
    </w:p>
    <w:p>
      <w:r>
        <w:rPr>
          <w:b/>
        </w:rPr>
        <w:t>E. 3</w:t>
      </w:r>
    </w:p>
    <w:p>
      <w:r>
        <w:t>Les parties ont produit des pièces nouvelles à l'appui de leurs écritures respectives.</w:t>
      </w:r>
    </w:p>
    <w:p>
      <w:r>
        <w:t>- 5/8 -</w:t>
      </w:r>
    </w:p>
    <w:p>
      <w:r>
        <w:t>C/27405/2015</w:t>
      </w:r>
    </w:p>
    <w:p>
      <w:r>
        <w:rPr>
          <w:b/>
        </w:rPr>
        <w:t>E. 3.1</w:t>
      </w:r>
    </w:p>
    <w:p>
      <w:r>
        <w:t>Selon l'art. 317 al. 1 CPC, les faits et les moyens de preuve nouveaux ne sont pris en considération en appel que s'ils sont invoqués ou produits sans retard (let. a) et s'ils ne pouvaient pas l'être devant la première instance bien que la partie qui s'en prévaut ait fait preuve de diligence (let. b). La Cour examine d'office la recevabilité des faits et les moyens de preuve nouveaux en appel (REETZ/HILBER, Kommentar zur Schweizerischen Zivilprozessordnung [ZPO], 2013, n. 26 ad art. 317 CPC).</w:t>
      </w:r>
    </w:p>
    <w:p>
      <w:r>
        <w:rPr>
          <w:b/>
        </w:rPr>
        <w:t>E. 3.2</w:t>
      </w:r>
    </w:p>
    <w:p>
      <w:r>
        <w:t>En l'espèce, les pièces 13, 15 et 17 produites par l'appelante sont postérieures au 10 mars 2016, date à laquelle la cause a été gardée à juger. Elles sont, partant, recevables. En revanche, la pièce 16 de l'appelante et la pièce 2 de l'intimé sont antérieures à cette date et en conséquence irrecevables, les parties n'exposant pas les raisons pour lesquelles elles n'auraient pas été en mesure de les produire devant le Tribunal.</w:t>
      </w:r>
    </w:p>
    <w:p>
      <w:r>
        <w:rPr>
          <w:b/>
        </w:rPr>
        <w:t>E. 4</w:t>
      </w:r>
    </w:p>
    <w:p>
      <w:r>
        <w:t>L'appelante reproche au premier juge de ne pas avoir tenu compte de la situation des parties avant que l'intimé ne soit placé en EMS pour juger du montant de la contribution due par ce dernier à son entretien.</w:t>
      </w:r>
    </w:p>
    <w:p>
      <w:r>
        <w:rPr>
          <w:b/>
        </w:rPr>
        <w:t>E. 4.1</w:t>
      </w:r>
    </w:p>
    <w:p>
      <w:r>
        <w:t>Le principe et le montant de la contribution d'entretien due selon l'art. 176 al. 1 ch. 1 CC se déterminent en fonction des facultés économiques et des besoins respectifs des époux, sans anticiper sur la liquidation du régime matrimonial. Le juge doit partir de la convention, expresse ou tacite, que les conjoints ont conclue au sujet de la répartition des tâches et des ressources entre eux (art. 163 al. 2 CC). Il doit ensuite prendre en considération qu'en cas de suspension de la vie commune, le but de l'art. 163 CC, soit l'entretien convenable de la famille, impose à chacun des époux le devoir de participer, selon ses facultés, aux frais supplémentaires qu'engendre la vie séparée. Si leur situation financière le permet encore, le standard de vie antérieur, choisi d'un commun accord, doit être maintenu pour les deux parties. Quand il n'est pas possible de conserver ce niveau de vie, les époux ont droit à un train de vie semblable. Le juge peut donc devoir modifier la convention conclue pour la vie commune, afin de l'adapter à ces faits nouveaux (arrêt du Tribunal fédéral 5A_445/20143 du 28 août 2014 consid. 4.1).</w:t>
      </w:r>
    </w:p>
    <w:p>
      <w:r>
        <w:t>La loi ne prescrit pas de méthode de calcul particulière pour arrêter la contribution d'entretien (ATF 128 III 411 consid. 3.2.2; arrêt du Tribunal fédéral 5A_178/2008 du 23 avril 2008 consid. 3.2). L'une des méthodes préconisée par la doctrine et considérée comme conforme au droit fédéral en cas de situations financières modestes ou moyennes et tant que dure le mariage (art. 176 al. 1 ch. 1 CC en relation avec l'art. 163 al. 1 CC), est celle dite du minimum vital, avec répartition de l'excédent (arrêts du Tribunal fédéral 5A_860/2013 du 29 janvier 2014 consid. 4.1; 5A_547/2012 du 14 mars 2013 consid. 4.1). Elle consiste à évaluer d'abord les ressources de chacun des époux, puis à calculer leurs charges en se fondant sur le minimum vital de base du droit des poursuites (art. 93 LP), élargi</w:t>
      </w:r>
    </w:p>
    <w:p>
      <w:r>
        <w:t>- 6/8 -</w:t>
      </w:r>
    </w:p>
    <w:p>
      <w:r>
        <w:t>C/27405/2015 des dépenses incompressibles (loyer, assurance-maladie et si les moyens des parents le permettent et les besoins de l'enfant le justifient, les dépenses supplémentaires, par exemple, pour des formations accessoires, des sports ou des loisirs) et, enfin, à répartir le montant disponible restant à parts égales entre les époux (arrêt du Tribunal fédéral 5C.142/2006 du 2 février 2007 consid. 4.3; PERRIN, Commentaire romand, Code civil I, 2010, n. 23 ss ad art. 285 CC; BASTONS BULLETTI, L'entretien après le divorce : méthodes de calcul, montant et durée, in SJ 2007 II, p. 84 ss et 101 ss).</w:t>
      </w:r>
    </w:p>
    <w:p>
      <w:r>
        <w:t>Selon la jurisprudence constante, la contribution ne doit pas entamer le minimum vital du débirentier, de sorte qu'un éventuel déficit doit être supporté uniquement par le crédirentier (ATF 140 III 337; ATF 135 III 66).</w:t>
      </w:r>
    </w:p>
    <w:p>
      <w:r>
        <w:rPr>
          <w:b/>
        </w:rPr>
        <w:t>E. 4.2</w:t>
      </w:r>
    </w:p>
    <w:p>
      <w:r>
        <w:t>En l'espèce, selon la méthode du minimum vital avec répartition de l'excédent, il est établi et non contesté qu'au moment du dépôt de la requête, aucun des conjoints ne parvenait à couvrir ses charges au moyen de ses revenus.</w:t>
      </w:r>
    </w:p>
    <w:p>
      <w:r>
        <w:t>Dès lors, c'est en faisant une juste application du principe jurisprudentiel selon lequel le minimum vital du débirentier ne doit pas être entamé que le Tribunal a retenu qu'aucune contribution à l'entretien de son épouse ne pouvait être mise à sa charge.</w:t>
      </w:r>
    </w:p>
    <w:p>
      <w:r>
        <w:t>Contrairement à ce que tente de soutenir l'appelante, il ne se justifiait pas de prendre en compte la situation des époux avant l'entrée en EMS de l'intimé pour déterminer la contribution d'entretien. Cet élément nouveau aurait de toute façon justifié une modification de la mesure prise antérieurement (au vu de l'augmentation des charges en découlant) et conduit à la suppression de toute contribution.</w:t>
      </w:r>
    </w:p>
    <w:p>
      <w:r>
        <w:t>Les arguments soulevés en lien avec les prestations complémentaires sont irrelevants et devront cas échéant être invoqués dans le cadre d'un recours contre la décision prise en la matière.</w:t>
      </w:r>
    </w:p>
    <w:p>
      <w:r>
        <w:t>L'appel sera donc rejeté et le chiffre 3 du dispositif du jugement entrepris confirmé.</w:t>
      </w:r>
    </w:p>
    <w:p>
      <w:r>
        <w:rPr>
          <w:b/>
        </w:rPr>
        <w:t>E. 5</w:t>
      </w:r>
    </w:p>
    <w:p>
      <w:r>
        <w:t>Les frais judiciaires d'appel seront fixés à 1'000 fr. (art. 96 CPC; art. 31 et 37 du Règlement genevois du 22 décembre 2010 fixant le tarif des frais en matière civile) et mis à la charge de l'appelante, qui succombe entièrement (art. 106 al. 1 CPC). Ils seront compensés avec l'avance de frais de même montant fournie par l'appelante, qui reste acquise à l'Etat (art. 111 al. 1 CPC).</w:t>
      </w:r>
    </w:p>
    <w:p>
      <w:r>
        <w:t>- 7/8 -</w:t>
      </w:r>
    </w:p>
    <w:p>
      <w:r>
        <w:t>C/27405/2015</w:t>
      </w:r>
    </w:p>
    <w:p>
      <w:r>
        <w:t>Le litige relevant du droit de la famille, chaque partie supportera ses propres dépens (art. 107 al. 1 let. c CPC). * * * * *</w:t>
      </w:r>
    </w:p>
    <w:p>
      <w:r>
        <w:t>- 8/8 -</w:t>
      </w:r>
    </w:p>
    <w:p>
      <w:r>
        <w:t>C/27405/2015 PAR CES MOTIFS, La Chambre civile : A la forme : Déclare recevable l'appel interjeté le 15 avril 2016 par A______ contre le jugement JTPI/3941/2016 rendu le 4 avril 2016 par le Tribunal de première instance dans la cause C/27405/2015-21. Au fond : Le rejette. Confirme le jugement entrepris. Déboute les parties de toutes autres conclusions. Sur les frais : Arrête les frais judiciaires d'appel à 1'000 fr. et les met à la charge de A______. Compense les frais judiciaires avec l'avance de frais de même montant fournie par A______, qui demeure acquise à l'Etat de Genève. Dit que chaque partie supporte ses dépens d'appel. Siégeant : Monsieur Cédric-Laurent MICHEL, président; Mesdames Pauline ERARD et Paola CAMPOMAGNANI, juges; Madame Marie NIERMARECHAL, greffière.</w:t>
      </w:r>
    </w:p>
    <w:p>
      <w:r>
        <w:t>Le président : Cédric-Laurent MICHEL</w:t>
      </w:r>
    </w:p>
    <w:p>
      <w:r>
        <w:t>La greffière : Marie NIERMARECHAL</w:t>
      </w:r>
    </w:p>
    <w:p>
      <w:r>
        <w:t>Indication des voies de recours : Conformément aux art. 72 ss de la loi fédérale sur le Tribunal fédéral du 17 juin 2005 (LTF;RS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