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ACJC/1211/2014 vom 27. April 2012</w:t>
      </w:r>
    </w:p>
    <w:p>
      <w:r>
        <w:t>GE Cour de justice, 2012-04-27, FR</w:t>
      </w:r>
    </w:p>
    <w:p>
      <w:r>
        <w:rPr>
          <w:b/>
        </w:rPr>
        <w:t xml:space="preserve">Quelle: </w:t>
      </w:r>
      <w:r>
        <w:t>https://mcp.opencaselaw.ch/entscheid/ge_gerichte_ACJC_1211_2014</w:t>
      </w:r>
    </w:p>
    <w:p>
      <w:r>
        <w:t>FR: GE_GERICHTE ACJC/1211/2014 du 27 avril 2012</w:t>
      </w:r>
    </w:p>
    <w:p>
      <w:r>
        <w:t>IT: GE_GERICHTE ACJC/1211/2014 del 27 aprile 2012</w:t>
      </w:r>
    </w:p>
    <w:p>
      <w:pPr>
        <w:pStyle w:val="Heading2"/>
      </w:pPr>
      <w:r>
        <w:t>Erwägungen</w:t>
      </w:r>
    </w:p>
    <w:p>
      <w:r>
        <w:rPr>
          <w:b/>
        </w:rPr>
        <w:t>E. 20</w:t>
      </w:r>
    </w:p>
    <w:p>
      <w:r>
        <w:t>avril 2011). A______ a formé opposition à chacun de ces commandements de payer.</w:t>
      </w:r>
    </w:p>
    <w:p>
      <w:r>
        <w:t>- 5/8 -</w:t>
      </w:r>
    </w:p>
    <w:p>
      <w:r>
        <w:t>C/19707/2011 h. Par courrier du 6 décembre 2011, se prévalant de ses versements effectués en 2007 et totalisant 1'154'750 fr. (448'000 fr. + 448'000 fr. + 258'750 fr.), A______ a informé l'AFC de l'erreur d'imputation en faveur de son ex-époux des versements qu'elle avait effectués et a sollicité de celle-ci que ces montants soient crédités sur son compte fiscal. i. A la suite de ce courrier, par décision sur réclamation du 6 décembre 2011, l'AFC a indiqué à A______ maintenir la répartition des montants qu'elle avait versés en 2007 et qui avaient été imputés sur les comptes communs ICC 2002 et IFD 2006 des époux A______ et B______. D. La procédure administrative qui a donné lieu à la suspension de la présente cause a été initiée par le recours de A______, déposé le 9 janvier 2012, auprès du Tribunal administratif de première instance contre la décision sur réclamation précitée. a. Dans le cadre de son recours, A______ a allégué que les montants versés en 2007 à l'AFC auraient dû être crédités exclusivement sur son compte fiscal, dès lors que les époux ne faisaient plus ménage commun. Au surplus, l'AFC n'aurait pas dû imputer ces montants sur l'IFD 2006, alors que des créances plus anciennes, notamment celles relatives aux IFD 2002 à 2005, étaient encore ouvertes. b. Le jugement du 18 mars 2013 du Tribunal administratif de première instance, qui avait partiellement accueilli les conclusions de A______, a fait l'objet d'un recours déposé par l'AFC auprès de la Chambre administrative de la Cour de justice. Par arrêt du 6 mai 2014 (ATA/324/2014), celle-ci a annulé le jugement précité en ce qu'il avait annulé la décision sur réclamation du 6 décembre 2011, l'a confirmée pour le surplus et rétabli cette décision sur réclamation. Elle a retenu, en substance, que les époux n'étaient pas encore séparés lorsque A______ avait versé à l'AFC les 12 février, 28 mars et 17 avril 2007, les sommes de 448'000 fr., 448'000 fr. et 258'750 fr. Ces montants devaient ainsi servir à acquitter les impôts du couple. Par ailleurs, dans la mesure où les bordereaux utilisés par A______ indiquaient la référence ICC 2002 pour les deux versements de 448'000 fr. et IFD 2006 pour le versement de 258'750 fr., les montants avaient été crédités à bon droit sur respectivement les comptes ICC 2002 et IFD 2006. EN DROIT 1. La Cour a déjà tranché la question de la recevabilité du recours dans son arrêt du 8 février 2013, de sorte qu'il n'y a pas lieu d'y revenir. Il en va de même s'agissant de l'irrecevabilité des pièces nouvelles.</w:t>
      </w:r>
    </w:p>
    <w:p>
      <w:r>
        <w:t>- 6/8 -</w:t>
      </w:r>
    </w:p>
    <w:p>
      <w:r>
        <w:t>C/19707/2011 2. Dans le cadre d'un recours, le pouvoir d'examen de la Cour est limité à la violation du droit et à la constatation manifestement inexacte des faits (art. 320 CPC). Par ailleurs, la maxime des débats s'applique et la preuve des faits allégués doit être apportée par titre (art. 55 al. 1, 255 let. a a contrario et 254 CPC). En outre, la maxime de disposition s'applique (art. 58 al. 1 CPC). 3.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Le juge doit examiner d'office non seulement l'existence d'un titre à la mainlevée définitive et son caractère exécutoire mais aussi les trois identités, en particulier que la prétention déduite en poursuite et la créance retenue dans le titre sont les mêmes (ATF 139 III 444, consid. 4.1.1; GILLIERON, Commentaire de la loi fédérale sur la poursuite pour dettes et la faillite, 1999, n. 22 ad art. 80 LP). 3.2 Sont assimilés à des jugements les décisions des autorités administratives suisses (art. 80 al. 2 ch. 2 LP). Aux termes de l'art. 165 al. 3 LIFD, les décisions et prononcés de taxation rendus par les autorités chargées de l'application de cette loi, qui sont entrés en force, produisent les mêmes effets qu'un jugement exécutoire. La décision qui ne peut plus être attaquée par voie de réclamation ou de recours est exécutoire (art. 135 et 140 LIFD). 3.3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w:t>
      </w:r>
    </w:p>
    <w:p>
      <w:r>
        <w:t>- 7/8 -</w:t>
      </w:r>
    </w:p>
    <w:p>
      <w:r>
        <w:t>C/19707/2011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et les références citées). 3.4 En l'espèce, les bordereaux relatifs aux IFD 2002 à 2005, notifiés à la recourante et munis des attestations de leur caractère exécutoire, représentent des titres de mainlevée définitive au sens de l'art. 80 LP, ce qui n'est au demeurant pas remis en cause. Les décisions de scission du 8 juillet 2010 qui découlent des bordereaux précités ont également été produites, ce qui a permis d'établir les montants restants dus par la recourante pour les exercices fiscaux 2002 à 2005. 3.5 La Chambre administrative de la Cour de justice a considéré que c'était à bon droit que l'AFC avait crédité les sommes versées par l'appelante en 2007 sur les comptes communs ICC 2002 et IFD 2006 des époux. Par conséquent, contrairement à ce que soutient la recourante, ces sommes ne viennent pas en déduction des créances litigieuses relatives aux IFD 2002 à 2005. Le moyen libératoire invoqué par l'appelante étant ainsi mal fondé, la mainlevée définitive des oppositions formées aux commandements de payer a été prononcée à raison par le premier juge. Le recours sera en conséquence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la présente décision, comprenant l'émolument relatif à la décision de la Cour de justice du 8 février 2013 statuant sur incident, seront fixés à 1'125 fr., mis à la charge de la recourante qui succombe et compensés avec l'avance de frais du même montant fournie par la recourante, acquise à l'Etat (art. 111 al. 1 CPC). Il ne sera pas alloué de dépens à l'intimée qui comparaît en personne, les démarches effectuées ne le justifiant pas (art. 95 al. 3 let. c CPC a contrario). 5. La valeur litigieuse, au sens de l'art. 51 LTF, est supérieure à 30'000 fr. * * * * *</w:t>
      </w:r>
    </w:p>
    <w:p>
      <w:r>
        <w:t>- 8/8 -</w:t>
      </w:r>
    </w:p>
    <w:p>
      <w:r>
        <w:t>C/19707/2011 PAR CES MOTIFS, La Chambre civile : Au fond : Rejette le recours formé le 24 septembre 2012 par A______ contre le jugement JTPI/12358/2012 rendu le 5 septembre 2012 par le Tribunal de première instance dans la cause C/19707/2011-9 SML. Déboute les parties de toutes autres conclusions. Sur les frais : Arrête les frais judiciaires à 1'125 fr. et les met à la charge de A______. Dit qu'ils sont compensés par l'avance de frais fournie par A______, acquise à l'Etat de Genève.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