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ACJC/1203/2015 vom 12. Oktober 2015</w:t>
      </w:r>
    </w:p>
    <w:p>
      <w:r>
        <w:t>GE Cour de justice, 2015-10-12, FR</w:t>
      </w:r>
    </w:p>
    <w:p>
      <w:r>
        <w:rPr>
          <w:b/>
        </w:rPr>
        <w:t xml:space="preserve">Quelle: </w:t>
      </w:r>
      <w:r>
        <w:t>https://mcp.opencaselaw.ch/entscheid/ge_gerichte_ACJC_1203_2015</w:t>
      </w:r>
    </w:p>
    <w:p>
      <w:r>
        <w:t>FR: GE_GERICHTE ACJC/1203/2015 du 12 octobre 2015</w:t>
      </w:r>
    </w:p>
    <w:p>
      <w:r>
        <w:t>IT: GE_GERICHTE ACJC/1203/2015 del 12 ottobre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- 4/7 -</w:t>
      </w:r>
    </w:p>
    <w:p>
      <w:r>
        <w:t>C/5806/2015 Selon la jurisprudence constante du Tribunal fédéral, les contestations portant sur l'usage d'une chose louée sont de nature pécuniaire (arrêts du Tribunal fédéral 4A_72/2007 du 22 août 2007 consid. 2; 4C.310/1996 du 16 avril 1997 = SJ 1997 p. 493 consid. 1). La présente procédure a trait à une demande d'évacuation pour défaut de paie- ment, ainsi qu'à l'exécution directe de cette mesure. La valeur litigieuse corres- pond dès lors à la somme des loyers entre le moment du dépôt de l'appel ou du re- cours par le locataire et le moment où son déguerpissement pourra vraisembla- blement être exécuté par la force publique (arrêt du Tribunal fédéral 4A_178/2012 du 11 avril 2012 consid. 2, 4A_574/2011 du 24 novembre 2011 consid. 1.1), soit 18'711 fr. (loyer de 2'079 fr. x 9 mois). La période de neuf mois correspond à l'es- 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contre le prononcé de l'évacuation. En revanche, contre la décision relative à l'exécution de l'évacuation,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 sions prises en procédure sommaire (art. 314 al. 1 et 321 al. 2 CPC), ce qui est le cas des procédures en protection des cas clairs (art. 248 let. b et 257 CPC). L'acte du 22 mai 2015, formé dans le délai et la forme prescrits par la loi, est rece- vable. Par souci de simplification, le locataire sera désigné ci-après uniquement comme l'appelant.</w:t>
      </w:r>
    </w:p>
    <w:p>
      <w:r>
        <w:rPr>
          <w:b/>
        </w:rPr>
        <w:t>E. 1.3</w:t>
      </w:r>
    </w:p>
    <w:p>
      <w:r>
        <w:t>Selon l'art. 121 al. 2 LOJ, dans les causes fondées sur les art. 257d et 282 CO, la Chambre des baux et loyers de la Cour de justice siège sans assesseurs.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2011, n. 6 ad art. 317 CPC). Les conclusions, les allégations de fait et les preuves nouvelles sont irrecevables dans le cadre d'un recours (art. 326 al. 1 CPC). Cela concerne également les faits survenus après la clôture des débats devant le premier juge, dès lors que la juri-</w:t>
      </w:r>
    </w:p>
    <w:p>
      <w:r>
        <w:t>- 5/7 -</w:t>
      </w:r>
    </w:p>
    <w:p>
      <w:r>
        <w:t>C/5806/2015 diction de recours doit statuer sur un état de fait identique à celui soumis à celui-ci (CHAIX, L'apport des faits au procès, in SJ 2009 II 267; HOFFMANN/LUSCHER, Le Code de procédure civile, 2015, p. 304).</w:t>
      </w:r>
    </w:p>
    <w:p>
      <w:r>
        <w:rPr>
          <w:b/>
        </w:rPr>
        <w:t>E. 2.2</w:t>
      </w:r>
    </w:p>
    <w:p>
      <w:r>
        <w:t>En l'espèce, les explications que l'appelant, défaillant devant le Tribunal (cf. art. 147 al. 1 CPC), expose au sujet des raisons qui l'auraient empêché de former ses allégués nouveaux et de produire la garantie relative au contrat de bail du 15 février 2006 en première instance ne sont pas pertinentes dans le cadre de l'appel, mais relèvent de la procédure de restitution prévue à l'art. 148 CPC. Lesdites allégations et pièce sont donc irrecevables, tant dans le cadre de l'appel que dans celui du recours. La copie de la carte de rendez-vous du Centre d'action sociale de Champel ne per- met pas d'établir quand ou pour quel rendez-vous elle a été remise à l'appelant. La question de la recevabilité, dans le cadre de l'appel, de cette pièce, qui n'est ni pro- bante, ni pertinente pour la solution du litige, peut demeurer ouverte. Enfin, la conclusion subsidiaire de l'appelant tendant à l'octroi d'un sursis à l'exé- cution de son évacuation est nouvelle, donc irrecevable.</w:t>
      </w:r>
    </w:p>
    <w:p>
      <w:r>
        <w:rPr>
          <w:b/>
        </w:rPr>
        <w:t>E. 3.1</w:t>
      </w:r>
    </w:p>
    <w:p>
      <w:r>
        <w:t>L'appelant reproche au Tribunal d'avoir violé l'art. 29 al. 2 Cst, en prononçant son évacuation sans lui donner la possibilité d'être entendu. Le droit d'être entendu (art. 29 al. 2 Cst et 53 CPC)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lorsque cela est de nature à influer sur la décision à rendre (ATF 133 I 270 consid. 3.1, JdT 2011 IV 3, 132 II 485 consid. 3.2, JdT 2007 IV 148).</w:t>
      </w:r>
    </w:p>
    <w:p>
      <w:r>
        <w:rPr>
          <w:b/>
        </w:rPr>
        <w:t>E. 3.2</w:t>
      </w:r>
    </w:p>
    <w:p>
      <w:r>
        <w:t>En l'espèce, il n'est pas contesté que l'appelant a été valablement cité à l'au- dience du Tribunal fixée au 29 avril 2015. Les premiers juges lui ont ainsi donné la possibilité de se déterminer avant qu'une décision ne soit prise. Le locataire ne s'est ni présenté ni fait représenter à l'audience, sans excuser son absence. Il n'a pas non plus sollicité du Tribunal la citation à une nouvelle audience, confor- mément à l'art. 148 CPC. Aucune violation du droit d'être entendu du locataire ne peut ainsi être reprochée aux premiers juges.</w:t>
      </w:r>
    </w:p>
    <w:p>
      <w:r>
        <w:rPr>
          <w:b/>
        </w:rPr>
        <w:t>E. 4</w:t>
      </w:r>
    </w:p>
    <w:p>
      <w:r>
        <w:t>L'appelant fait valoir que son évacuation viole le droit au logement, tel que prévu par l'art. 11 § 1 du Pacte international relatif aux droits économiques, sociaux et culturels de 1966 (Pacte ONU I; RS 0.103.1) et tel qu'il résulte des art. 12 Cst et 38 Cst-GE.</w:t>
      </w:r>
    </w:p>
    <w:p>
      <w:r>
        <w:t>- 6/7 -</w:t>
      </w:r>
    </w:p>
    <w:p>
      <w:r>
        <w:t>C/5806/2015</w:t>
      </w:r>
    </w:p>
    <w:p>
      <w:r>
        <w:rPr>
          <w:b/>
        </w:rPr>
        <w:t>E. 4.1</w:t>
      </w:r>
    </w:p>
    <w:p>
      <w:r>
        <w:t>S'agissant du Pacte ONU I, ses dispositions se bornent à prescrire aux Etats, sous la forme d'idées directrices, des objectifs à atteindre dans les divers domaines considérés. Elles leur laissent la plus grande latitude quant aux moyens à mettre en œuvre pour réaliser ces objectifs. Dès lors, conformément à la jurisprudence et à la doctrine, elles ne revêtent pas, sauf exception (par exemple l'art. 8 al. 1 let. a, relatif au droit de former des syndicats et de s'affilier au syndicat de son choix), le caractère de normes directement applicables (cf. arrêt du Tribunal fédéral 4C.15/2001 du 22 mai 2001, consid. 4; ATF 121 V 246 consid. 2c; ATF 121 V 229 consid. 3b et les références citées).</w:t>
      </w:r>
    </w:p>
    <w:p>
      <w:r>
        <w:rPr>
          <w:b/>
        </w:rPr>
        <w:t>E. 4.2</w:t>
      </w:r>
    </w:p>
    <w:p>
      <w:r>
        <w:t>Pour ce qui est des art. 12 Cst et 38 Cst-GE, les rapports entre particuliers re- lèvent directement des seules lois civiles et pénales et c'est donc par celles-ci que l'individu est protégé contre les atteintes que d'autres sujets de droit privé pourraient porter à ses droits constitutionnels (ATF 107 Ia 277 consid. 3a p. 280 s.; arrêts du Tribunal fédéral 5A_506/2014 du 23 octobre 2014 consid. 4.3.2; 4A_265/2011 du 8 juillet 2011 consid. 3.2.1). L'appelant ne peut donc pas tirer argument des dispositions constitutionnelles et internationales mentionnées.</w:t>
      </w:r>
    </w:p>
    <w:p>
      <w:r>
        <w:rPr>
          <w:b/>
        </w:rPr>
        <w:t>E. 4.3</w:t>
      </w:r>
    </w:p>
    <w:p>
      <w:r>
        <w:t>L'appelant ne fait valoir aucun motif permettant de considérer que les condi- tions de l'art. 257d CO n'auraient pas été remplies. En particulier, il ne soutient pas que le paiement des loyers était à jour à l'issue du délai qui lui avait été im- parti sous la menace de résiliation du bail. Le cas doit ainsi être considéré comme clair au sens de l'art. 257 CPC. Le juge- ment attaqué sera confirmé en tant qu'il prononce l'évacuation de l'appelant. Par ailleurs, la mesure d'exécution a été prononcée par le Tribunal en conformité des art. 337 al. 1 CPC, 29 et 30 LaCC. Comme indiqué, la conclusion tendant à l'octroi d'un sursis à l'exécution est irrecevable. Le recours sera donc rejeté dans la mesure où il est recevable.</w:t>
      </w:r>
    </w:p>
    <w:p>
      <w:r>
        <w:rPr>
          <w:b/>
        </w:rPr>
        <w:t>E. 5</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- 7/7 -</w:t>
      </w:r>
    </w:p>
    <w:p>
      <w:r>
        <w:t>C/5806/2015 PAR CES MOTIFS, La Chambre des baux et loyers : A la forme : Déclare recevable l'appel interjeté le 22 mai 2015 par A______ contre le jugement JTBL/535/2015 rendu le 29 avril 2015 par le Tribunal des baux et loyers dans la cause C/5806/2015-7 SE. Au fond : Confirme le jugement attaqué. Dit que la procédure est gratuite. Déboute les parties de toutes autres conclusions. Siégeant : Monsieur Laurent RIEBEN, président; Madame Fabienne GEISINGER-MARIÉTHOZ et Monsieur Ivo BUETTI, juges; Madame Maïté VALENTE, greffière.</w:t>
      </w:r>
    </w:p>
    <w:p>
      <w:r>
        <w:t>Le président : Laurent RIEBEN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