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ACJC/1202/2011 vom 23. September 2011</w:t>
      </w:r>
    </w:p>
    <w:p>
      <w:r>
        <w:t>GE Cour de justice, 2011-09-23, FR</w:t>
      </w:r>
    </w:p>
    <w:p>
      <w:r>
        <w:rPr>
          <w:b/>
        </w:rPr>
        <w:t xml:space="preserve">Quelle: </w:t>
      </w:r>
      <w:r>
        <w:t>https://mcp.opencaselaw.ch/entscheid/ge_gerichte_ACJC_1202_2011</w:t>
      </w:r>
    </w:p>
    <w:p>
      <w:r>
        <w:t>FR: GE_GERICHTE ACJC/1202/2011 du 23 septembre 2011</w:t>
      </w:r>
    </w:p>
    <w:p>
      <w:r>
        <w:t>IT: GE_GERICHTE ACJC/1202/2011 del 23 settembre 2011</w:t>
      </w:r>
    </w:p>
    <w:p>
      <w:pPr>
        <w:pStyle w:val="Heading2"/>
      </w:pPr>
      <w:r>
        <w:t>Regeste</w:t>
      </w:r>
    </w:p>
    <w:p>
      <w:r>
        <w:t>Résumé: Une décision qui impose à une partie d'apporter des pièces à la procédure concerne le principe et les modalités d'une mesure probatoire; il s'agit ainsi d'une ordonnance d'instruction au sens de l'art. 154 CPC, susceptible de recours immédiat aux conditions restrictives de l'art. 319 let. b CPC (consid. 1).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ne porte que sur le chiffre (2) du dispositif de la décision attaquée, à teneur duquel le Tribunal ordonne à la recourante de produire différents documents à la procédure.</w:t>
      </w:r>
    </w:p>
    <w:p>
      <w:r>
        <w:t>La décision querellée constitue une ordonnance d'instruction au sens de l'art. 154 CPC, puisqu'en imposant à la recourante d'apporter des pièces au dossier, elle est relative au principe et aux modalités d'une mesure probatoire (Commentaire romand, no 3 ad art. 154; Commentaire bâlois, no 1 ad art. 154; Commentaire Brunner et alii, no 2.6 ad art. 154; Commentaire Sutter-Somm et alii, no 6 ad art. 154 CPC).</w:t>
      </w:r>
    </w:p>
    <w:p>
      <w:r>
        <w:t>- 3/4 -</w:t>
      </w:r>
    </w:p>
    <w:p>
      <w:r>
        <w:t>C/18240/2007</w:t>
      </w:r>
    </w:p>
    <w:p>
      <w:r>
        <w:t>Elle est, partant, susceptible de recours immédiat aux conditions restrictives de l'art. 319 let. b CPC (Commentaire romand, no 14 ad art. 319 CPC; Commentaire bâlois, no 2 ad art. 154; Commentaire Brunner et alii, no 10.2.1 ad art. 154; Commentaire Sutter-Somm et alii, no 25 ad art. 154 CPC).</w:t>
      </w:r>
    </w:p>
    <w:p>
      <w:r>
        <w:rPr>
          <w:b/>
        </w:rPr>
        <w:t>E. 2</w:t>
      </w:r>
    </w:p>
    <w:p>
      <w:r>
        <w:t>CPC).</w:t>
      </w:r>
    </w:p>
    <w:p>
      <w:r>
        <w:t>En l'espèce, la décision querellée a été notifiée aux parties par plis recommandés du 1er février 2011 et la date de sa réception par la recourante ne résulte pas du dossier.</w:t>
      </w:r>
    </w:p>
    <w:p>
      <w:r>
        <w:t>Quoi qu'il en soit et même compte tenu du délai de garde postal de sept jours, le recours adressé par voie électronique le 3 mars 2011, puis déposé au greffe de la Cour le 9 du même mois, est intervenu postérieurement à l'expiration du délai, lequel courait jusqu'au 9 février 2011 au plus tard.</w:t>
      </w:r>
    </w:p>
    <w:p>
      <w:r>
        <w:t>Il est dès lors irrecevable.</w:t>
      </w:r>
    </w:p>
    <w:p>
      <w:r>
        <w:rPr>
          <w:b/>
        </w:rPr>
        <w:t>E. 3</w:t>
      </w:r>
    </w:p>
    <w:p>
      <w:r>
        <w:t>Les frais du recours sont arrêtés à 1'000 fr., correspondant à l'avance de frais du même montant payée par la recourante, avance qui est dès lors acquise à l'Etat (art. 105 al. 1 et 111 CPC).</w:t>
      </w:r>
    </w:p>
    <w:p>
      <w:r>
        <w:t>Ils sont mis à concurrence de 800 fr. à la charge de la recourante, qui succombe tant sur sa requête d'effet suspensif que sur son recours et à concurrence de 200 fr. à la charge de l'intimée, qui a succombé dans sa requête de sûretés. L'intimée sera dès lors condamnée à rembourser à la recourante 200 fr. sur l'avance de frais effectuée par cette dernière (art. 106 al. 1 et 2, et 111 al. 1 et 2 CPC).</w:t>
      </w:r>
    </w:p>
    <w:p>
      <w:r>
        <w:t>La recourante, qui succombe, est condamnée à verser 1'000 fr. à titre de dépens à l'intimée. Il n'y a pour le surplus pas lieu d'allouer des dépens à la recourante pour l'incident relatif aux sûretés, celle-ci n'ayant pas été sollicitée de s'exprimer sur le sujet.</w:t>
      </w:r>
    </w:p>
    <w:p>
      <w:r>
        <w:t>Après compensation des montants dus de part et d'autre, le montant dû par la recourante à l'intimée est de 800 fr. * * * * *</w:t>
      </w:r>
    </w:p>
    <w:p>
      <w:r>
        <w:t>- 4/4 -</w:t>
      </w:r>
    </w:p>
    <w:p>
      <w:r>
        <w:t>C/18240/2007</w:t>
      </w:r>
    </w:p>
    <w:p>
      <w:r>
        <w:t>PAR CES MOTIFS, La Chambre civile :</w:t>
      </w:r>
    </w:p>
    <w:p>
      <w:r>
        <w:t>Déclare irrecevable le recours formé par X.______. à l'encontre de l'ordonnance OTPI/160/2011, rendue le 1er février 2011 par le Tribunal de première instance dans la cause C/18240/2007-17.</w:t>
      </w:r>
    </w:p>
    <w:p>
      <w:r>
        <w:t>Arrête les frais de la procédure de recours à 1'000 fr., couverts par l'avance de frais du même montant payée par X.______, avance qui est dès lors acquise à l'Etat.</w:t>
      </w:r>
    </w:p>
    <w:p>
      <w:r>
        <w:t>Met lesdits frais à concurrence de 800 fr. à la charge de X.______ et à concurrence de 200 fr. à la charge de Y.______ SA.</w:t>
      </w:r>
    </w:p>
    <w:p>
      <w:r>
        <w:t>Condamne X.______. à verser 800 fr. à Y.______ SA à titre de dépens.</w:t>
      </w:r>
    </w:p>
    <w:p>
      <w:r>
        <w:t>Déboute les parties de toutes autres conclusions. Siégeant : Madame Marguerite JACOT-DES-COMBES, présidente; Monsieur Pierre CURTIN, Monsieur Jean-Marc STRUBIN, juges; Madame Nathalie DESCHAMPS; greffière.</w:t>
      </w:r>
    </w:p>
    <w:p>
      <w:r>
        <w:t>La présidente : Marguerite JACOT-DES-COMBES</w:t>
      </w:r>
    </w:p>
    <w:p>
      <w:r>
        <w:t>La greffière : Nathalie DESCHAMPS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