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ACJC/1201/2022 vom 16. September 2022</w:t>
      </w:r>
    </w:p>
    <w:p>
      <w:r>
        <w:t>GE Cour de justice, 2022-09-16, FR</w:t>
      </w:r>
    </w:p>
    <w:p>
      <w:r>
        <w:rPr>
          <w:b/>
        </w:rPr>
        <w:t xml:space="preserve">Quelle: </w:t>
      </w:r>
      <w:r>
        <w:t>https://mcp.opencaselaw.ch/entscheid/ge_gerichte_ACJC_1201_2022</w:t>
      </w:r>
    </w:p>
    <w:p>
      <w:r>
        <w:t>FR: GE_GERICHTE ACJC/1201/2022 du 16 septembre 2022</w:t>
      </w:r>
    </w:p>
    <w:p>
      <w:r>
        <w:t>IT: GE_GERICHTE ACJC/1201/2022 del 16 settembre 2022</w:t>
      </w:r>
    </w:p>
    <w:p>
      <w:pPr>
        <w:pStyle w:val="Heading2"/>
      </w:pPr>
      <w:r>
        <w:t>Erwägungen</w:t>
      </w:r>
    </w:p>
    <w:p>
      <w:r>
        <w:rPr>
          <w:b/>
        </w:rPr>
        <w:t>E. 1.1</w:t>
      </w:r>
    </w:p>
    <w:p>
      <w:r>
        <w:t>L'appel est recevable contre les décisions de première instance sur les mesures provisionnelles (art. 308 al. 1 let. b et al. 2 CPC). Le Tribunal fédéral considère les contestations d'une décision d'une association comme des causes non patrimoniales (arrêt du Tribunal fédéral 5A_978/2015 du 17 février 2016 consid. 1.1 et les références citées). Les décisions sur mesures provisionnelles de première instance rendues dans les affaires non patrimoniales sont toujours attaquables par la voie de l'appel (JEANDIN, Commentaire romand, Code de procédure civile, 2ème éd. 2019, n. 19 ad art. 309 CPC).</w:t>
      </w:r>
    </w:p>
    <w:p>
      <w:r>
        <w:t>En procédure sommaire, applicable aux mesures provisionnelles (art. 248 let. d CPC), le délai d'appel est de 10 jours (art. 314 al. 1 CPC) En l'espèce, l'appel, déposé dans la forme (art. 311 al. 1 CPC) et le délai prévus par la loi (cf. aussi art. 142 al. 3 CPC), est recevable.</w:t>
      </w:r>
    </w:p>
    <w:p>
      <w:r>
        <w:rPr>
          <w:b/>
        </w:rPr>
        <w:t>E. 1.2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1er septembre 2014 consid. 5).</w:t>
      </w:r>
    </w:p>
    <w:p>
      <w:r>
        <w:t>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w:t>
      </w:r>
    </w:p>
    <w:p>
      <w:r>
        <w:rPr>
          <w:b/>
        </w:rPr>
        <w:t>E. 2</w:t>
      </w:r>
    </w:p>
    <w:p>
      <w:r>
        <w:t>L'appelante fait grief au Tribunal d'avoir "fait abstraction de la nature particulière de l'association objet de la présente procédure", qui serait un parti politique. Le premier juge aurait ainsi violé le principe de la proportionnalité, puisque "l'ordonnance attaquée a pour conséquence de contraindre les membres de l'association à cesser, séance tenante, toute forme d'activité politique organisée" et "d'interdire à AB______ de financer ses campagnes politiques", ce qui serait "particulièrement problématique à moins d'une année des élections parlementaires cantonales". Dans ce contexte, l'appelante invoque également une violation de l'art. 11 CEDH, au motif que les mesures ordonnées conduiraient, "de manière directe et indirecte, l'association et ses membres à l'inaction politique".</w:t>
      </w:r>
    </w:p>
    <w:p>
      <w:r>
        <w:t>- 11/15 -</w:t>
      </w:r>
    </w:p>
    <w:p>
      <w:r>
        <w:t>C/7200/2022 Enfin, l'appelante fait grief au Tribunal d'avoir considéré que la modification statutaire litigieuse constituait une modification profonde de son but social, alors qu'elle serait "d'ordre purement formel" et que l'intimée ne se serait jamais opposée à "l'élargissement très important des attributions de l'Appelante depuis 2019".</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w:t>
      </w:r>
    </w:p>
    <w:p>
      <w:r>
        <w:rPr>
          <w:b/>
        </w:rPr>
        <w:t>E. 2.1.2</w:t>
      </w:r>
    </w:p>
    <w:p>
      <w:r>
        <w:t>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w:t>
      </w:r>
    </w:p>
    <w:p>
      <w:r>
        <w:t>- 12/15 -</w:t>
      </w:r>
    </w:p>
    <w:p>
      <w:r>
        <w:t>C/7200/2022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2.1.3</w:t>
      </w:r>
    </w:p>
    <w:p>
      <w:r>
        <w:t>La transformation du but social d'une association ne peut être imposée à aucun sociétaire (art. 74 CC). De simples modifications du but social ne sont pas visées par l’art. 74 CC et peuvent donc être adoptées à la majorité prévue par la loi (CC 67 al. 2 CC) ou par les statuts. La distinction entre transformation et simple modification n’est pas facile à opérer. Il doit s’agir d’un changement important, d’une modification profonde du but social, voire d’une rupture avec le passé. Il ne faut toutefois pas en conclure que l’art. 74 CC ne s’appliquerait qu’à des cas crasses ou que lorsque l’association devient «toute autre» («völlig anderer») suite au changement de but social. C'est du point de vue du membre rénitent qu’il convient d’apprécier s’il y a transformation du but social, sans s’en remettre à sa seule appréciation subjective. Selon la jurisprudence, il convient de rechercher si le but social «est modifié sur un point qui, selon les règles de la bonne foi, peut sérieusement mettre en balance la décision du sociétaire de faire partie de la société et de remplir ses devoirs statutaires» (FOEX, in Commentaire romand, CC I, 2010, n. 5 et 9 ad art 74 CC). L’art. 74 CC n’institue pas l’intangibilité du but social: une transformation du but social est possible, mais elle ne saurait être imposée à un sociétaire; le but social peut donc fort bien être transformé, pourvu que la décision soit prise à l’unanimité des membres (ou, en cas de clause statutaire ayant dérogé valablement à l’art. 74 CC, à la majorité prévue par les statuts). (FOEX, op. cit., n. 12 ad art 74 CC). Il peut survenir, en pratique, que l'association vienne à étendre le cercle de ces opérations et déploie une activité qui n'est plus couverte par le texte écrit des statuts. Si ce changement et durable, ce texte ne traduit plus la réalité. Il y a changement du but social. Si la majorité des sociétaires prétend qu'il s'agit d'une simple adaptation à la situation actuelle, elle devra proposer une nouvelle rédaction du but. Si cette nouvelle rédaction traduit un changement du but, celui- ci ne peut être imposé à aucun sociétaire (PERRIN/CHAPPUIS, Droit de l'association, 3ème éd. 2008, p. 162). A teneur de l'article 75 CC, tout sociétaire est autorisé de par la loi à attaquer en justice, dans le mois à compter du jour où il en a eu connaissance, les décisions auxquelles il n'a pas adhéré et qui violent des dispositions légales ou statutaires.</w:t>
      </w:r>
    </w:p>
    <w:p>
      <w:r>
        <w:rPr>
          <w:b/>
        </w:rPr>
        <w:t>E. 2.1.4</w:t>
      </w:r>
    </w:p>
    <w:p>
      <w:r>
        <w:t>L’association peut décider sa dissolution en tout temps (art. 76 CC). L’association est dissoute de plein droit lorsqu’elle est insolvable ou lorsque la direction ne peut plus être constituée statutairement (art. 77 CC). La dissolution</w:t>
      </w:r>
    </w:p>
    <w:p>
      <w:r>
        <w:t>- 13/15 -</w:t>
      </w:r>
    </w:p>
    <w:p>
      <w:r>
        <w:t>C/7200/2022 est prononcée par le juge, à la demande de l’autorité compétente ou d’un intéressé, lorsque le but de l’association est illicite ou contraire aux mœurs (art. 78 CC).</w:t>
      </w:r>
    </w:p>
    <w:p>
      <w:r>
        <w:rPr>
          <w:b/>
        </w:rPr>
        <w:t>E. 2.1.5</w:t>
      </w:r>
    </w:p>
    <w:p>
      <w:r>
        <w:t>Toute personne a droit à la liberté de réunion pacifique et à la liberté d’association, y compris le droit de fonder avec d’autres des syndicats et de s’affilier à des syndicats pour la défense de ses intérêts (art. 11 al. 1 de la Convention de sauvegarde des droits de l’homme et des libertés fondamentales du</w:t>
      </w:r>
    </w:p>
    <w:p>
      <w:r>
        <w:rPr>
          <w:b/>
        </w:rPr>
        <w:t>E. 2.2.1</w:t>
      </w:r>
    </w:p>
    <w:p>
      <w:r>
        <w:t>En l'espèce, si la Chancelière d'Etat ou le Service des votations et élections ont eu l'occasion d'indiquer à deux reprises que l'appellation C______ correspond à un parti politique siégeant ou représenté au Grand Conseil (ci-dessus, "En fait", let. C.d), il apparaît, au stade de la vraisemblance, que ces deux services étatiques visaient le groupe parlementaire ou la coalition politique C______ et non pas l'association A______ fondée en 2013, laquelle n'est pas citée dans les courriers auxquels se réfère l'appelante. A ce propos, les pièces sur lesquelles se fonde l'appelante pour démontrer que l'association C______ fondée en 2017 aurait été dissoute de plein droit (ci-dessus, "En fait", let. C.e) ne rendent pas ce fait vraisemblable. Il apparaît ainsi que l'argumentation que l'appelante développe notamment au sujet de la proportionnalité de la mesure ordonnée et de la prétendue atteinte aux garanties de la CEDH repose sur des prémisses qui ne sont pas rendues vraisemblables. Il est donc superflu de s'attarder à cette argumentation. De surcroît, il est contradictoire de prétendre, d'une part, que la modification du but social ne ferait que concrétiser une situation existante et, d'autre part, que la décision attaquée condamnerait l'appelante à l'inaction.</w:t>
      </w:r>
    </w:p>
    <w:p>
      <w:r>
        <w:rPr>
          <w:b/>
        </w:rPr>
        <w:t>E. 2.2.2</w:t>
      </w:r>
    </w:p>
    <w:p>
      <w:r>
        <w:t>L'appelante ne conteste pas que la modification litigieuse votée le 22 février 2022 constitue, en soi et pour le moins au stade de la vraisemblance, une modification profonde de son but originel, "exclusif" (et "extrêmement circonscrit", selon les termes utilisés par l'appelante), tel que défini à l'art. 3 des</w:t>
      </w:r>
    </w:p>
    <w:p>
      <w:r>
        <w:t>- 14/15 -</w:t>
      </w:r>
    </w:p>
    <w:p>
      <w:r>
        <w:t>C/7200/2022 statuts. Il résulte des principes rappelés ci-dessus, prima facie, que même un changement du but social qui constituerait une simple adaptation à la situation actuelle ne pourrait être imposé à un sociétaire. En toute hypothèse, les pièces produites ne suffisent pas à rendre vraisemblable que la modification votée viserait à mettre en adéquation les statuts avec les activités poursuivies par l'appelante depuis de nombreuses années. C'est au cours de l'action au fond, soumise à la procédure ordinaire, lors de laquelle les parties pourront faire valoir tous leurs moyens de preuve, que cette question sera examinée de manière approfondie. Par ailleurs, l'intimée rend vraisemblable qu'elle est exposée à un préjudice qui ne pourrait pas être entièrement supprimé même si le jugement au fond devait lui donner gain de cause. En effet, il n'est pas contesté que l'appelante, qui se présente sous le nouveau nom adopté lors de l'assemblée générale litigieuse, a déjà entrepris des démarches publiques démontrant qu'elle associe l'intimée à un nouveau mouvement politique sans son adhésion. Cela, prima facie, est susceptible de créer une confusion dans l'esprit des électeurs de l'intimée et d'affecter ainsi son image en tant que personnalité publique. Un tel préjudice est difficilement réparable, puisqu'il sera plus tard difficile à mesurer ou à compenser entièrement. Pour le surplus, la Cour fait entièrement sienne l'argumentation du premier juge. En définitive, tous les griefs de l'appelante se révèlent infondés, de sorte que l'ordonnance attaquée sera entièrement confirmée. 3. Les frais judiciaires d'appel seront arrêtés à 800 fr. (art. 26 et 35 RTFMC), mis à la charge de l'appelante, qui succombe intégralement (art. 106 al. 1 CPC) et compensés avec l'avance effectuée, acquise à l'Etat de Genève.</w:t>
      </w:r>
    </w:p>
    <w:p>
      <w:r>
        <w:t>L'appelante sera condamnée à verser à l'intimé 1'500 fr. à titre de dépens d'appel, débours et TVA compris (art. 84, 86, 88 et 90 RTFMC; art. 20, 25 et 26 LaCC). * * * * *</w:t>
      </w:r>
    </w:p>
    <w:p>
      <w:r>
        <w:t>- 15/15 -</w:t>
      </w:r>
    </w:p>
    <w:p>
      <w:r>
        <w:t>C/7200/2022 PAR CES MOTIFS, La Chambre civile :</w:t>
      </w:r>
    </w:p>
    <w:p>
      <w:r>
        <w:t>A la forme : Déclare recevable l'appel interjeté par A______ le 4 juillet 2022 contre l'ordonnance OTPI/406/2022 rendue le 15 juin 2022 par le Tribunal de première instance dans la cause C/7200/2022-24 SP. Au fond : Confirme l'ordonnance attaquée. Déboute les parties de toutes autres conclusions. Sur les frais : Arrête les frais judiciaires d'appel à 800 fr., les met à la charge de A______ et les compense avec l'avance effectuée, qui demeure acquise à l'Etat de Genève. Condamne A______ à verser à B______ 1'500 fr. à titre de dépens d'appel. Siégeant : Madame Sylvie DROIN, présidente; Madame Fabienne GEISINGER-MARIETHOZ, Monsieur Ivo BUETTI, juges; Madame Laura SESSA, greffière. La présidente : Sylvie DROIN</w:t>
      </w:r>
    </w:p>
    <w:p>
      <w:r>
        <w:t>La greffière : Laura SESSA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4</w:t>
      </w:r>
    </w:p>
    <w:p>
      <w:r>
        <w:t>novembre 1950; ci-après: CEDH) Selon l'art. 11 al. 2 CEDH,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