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ACJC/11/2025 vom 9. Januar 2025</w:t>
      </w:r>
    </w:p>
    <w:p>
      <w:r>
        <w:t>GE Cour de justice, 2025-01-09, FR</w:t>
      </w:r>
    </w:p>
    <w:p>
      <w:r>
        <w:rPr>
          <w:b/>
        </w:rPr>
        <w:t xml:space="preserve">Quelle: </w:t>
      </w:r>
      <w:r>
        <w:t>https://mcp.opencaselaw.ch/entscheid/ge_gerichte_ACJC_11_2025</w:t>
      </w:r>
    </w:p>
    <w:p>
      <w:r>
        <w:t>FR: GE_GERICHTE ACJC/11/2025 du 9 janvier 2025</w:t>
      </w:r>
    </w:p>
    <w:p>
      <w:r>
        <w:t>IT: GE_GERICHTE ACJC/11/2025 del 9 gennaio 2025</w:t>
      </w:r>
    </w:p>
    <w:p>
      <w:pPr>
        <w:pStyle w:val="Heading2"/>
      </w:pPr>
      <w:r>
        <w:t>Erwägungen</w:t>
      </w:r>
    </w:p>
    <w:p>
      <w:r>
        <w:rPr>
          <w:b/>
        </w:rPr>
        <w:t>E. 1.1</w:t>
      </w:r>
    </w:p>
    <w:p>
      <w:r>
        <w:t>En matière de mainlevée d'opposition, seule la voie du recours est ouverte (art. 309 let. b ch. 3 CPC).</w:t>
      </w:r>
    </w:p>
    <w:p>
      <w:r>
        <w:t>Aux termes de l'art. 321 al. 1 et 2 CPC, le recours, écrit et motivé, doit être introduit auprès de l'instance de recours dans les dix jours à compter de la notification de la décision motivée, pour les décisions prises en procédure sommaire (art. 251 let. a CPC).</w:t>
      </w:r>
    </w:p>
    <w:p>
      <w:r>
        <w:t>Interjeté dans le délai et selon la forme prévus par la loi, le recours est recevable.</w:t>
      </w:r>
    </w:p>
    <w:p>
      <w:r>
        <w:t>- 4/9 -</w:t>
      </w:r>
    </w:p>
    <w:p>
      <w:r>
        <w:t>C/8618/2024</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1.3</w:t>
      </w:r>
    </w:p>
    <w:p>
      <w:r>
        <w:t>Les pièces nouvelles n° 3, 8, 10 et 11, produites par le recourant sont irrecevables en application de l'art. 326 al. 1 CPC, de même que les allégués qui s'y rapportent.</w:t>
      </w:r>
    </w:p>
    <w:p>
      <w:r>
        <w:rPr>
          <w:b/>
        </w:rPr>
        <w:t>E. 2</w:t>
      </w:r>
    </w:p>
    <w:p>
      <w:r>
        <w:t>Le Tribunal a retenu que le contrat de bail litigieux valait titre de mainlevée. Une personne pouvait valablement s'engager comme garant ou codébiteur solidaire dans un contrat de bail, sans que cela doive nécessairement prendre la forme d'un cautionnement. L'engagement pris par le recourant était valable et il pouvait être recherché pour la totalité de la créance.</w:t>
      </w:r>
    </w:p>
    <w:p>
      <w:r>
        <w:t>Le recourant fait valoir que le Tribunal a violé son droit d'être entendu car il n'a pas statué sur sa requête tendant à ce que le montant versé par G______ à titre de garantie de loyer soit déduit de sa créance et n'a pas mentionné le fait que le bail avait été résilié pour le 31 août 2023.</w:t>
      </w:r>
    </w:p>
    <w:p>
      <w:r>
        <w:rPr>
          <w:b/>
        </w:rPr>
        <w:t>E. 2.1</w:t>
      </w:r>
    </w:p>
    <w:p>
      <w:r>
        <w:t>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w:t>
      </w:r>
    </w:p>
    <w:p>
      <w:r>
        <w:t>- 5/9 -</w:t>
      </w:r>
    </w:p>
    <w:p>
      <w:r>
        <w:t>C/8618/2024 de justice formel si elle omet de se prononcer sur des griefs qui présentent une certaine pertinence ou de prendre en considération des allégués et arguments importants pour la décision à rendre (arrêt du Tribunal fédéral 5A_111/2015 du 20 octobre 2015 consid. 3.1).</w:t>
      </w:r>
    </w:p>
    <w:p>
      <w:r>
        <w:t>Le droit d’être entendu n’implique aucune obligation d’étudier des questions qui ne sont pas pertinentes pour la décision (arrêt du Tribunal fédéral 4A_502/2019 du 15 juin 2020 consid. 4).</w:t>
      </w:r>
    </w:p>
    <w:p>
      <w:r>
        <w:rPr>
          <w:b/>
        </w:rPr>
        <w:t>E. 2.2</w:t>
      </w:r>
    </w:p>
    <w:p>
      <w:r>
        <w:t>En l'espèce, même si la motivation du jugement est succincte, l'on comprend des considérants du Tribunal qu'il a implicitement rejeté l'objection du recourant selon laquelle il y avait lieu de déduire de sa dette le montant de la garantie de loyer.</w:t>
      </w:r>
    </w:p>
    <w:p>
      <w:r>
        <w:t>La résiliation du bail n'est par ailleurs pas un élément pertinent pour la solution du litige, de sorte que le Tribunal n'avait pas à en faire état dans son raisonnement.</w:t>
      </w:r>
    </w:p>
    <w:p>
      <w:r>
        <w:t>Le grief de violation du droit d'être entendu formé par le recourant est dès lors infondé.</w:t>
      </w:r>
    </w:p>
    <w:p>
      <w:r>
        <w:rPr>
          <w:b/>
        </w:rPr>
        <w:t>E. 3</w:t>
      </w:r>
    </w:p>
    <w:p>
      <w:r>
        <w:t>Sur le fond, le recourant fait valoir que son engagement comme colocataire aux côtés de G______ et F______ serait nul car il s'agissait d'un cautionnement, soumis à la forme authentique. Il convenait de plus de déduire du montant réclamé les 9'000 fr. versés par G______ au titre de garantie de loyer. Les intimés n'avaient pas droit au paiement des loyers de septembre et octobre 2023 car le bail avait été résilié.</w:t>
      </w:r>
    </w:p>
    <w:p>
      <w:r>
        <w:t>3.1.1 Conformément à l'art. 82 al. 1 LP, le créancier dont la poursuite se fonde sur une reconnaissance de dette constatée par acte authentique ou sous seing privé peut requérir la mainlevée provisoire.</w:t>
      </w:r>
    </w:p>
    <w:p>
      <w:r>
        <w:t>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w:t>
      </w:r>
    </w:p>
    <w:p>
      <w:r>
        <w:t>Le contrat de bail vaut reconnaissance de dette dans la poursuite en recouvrement du loyer et des frais accessoires dûment convenus et chiffrés (ABBET/ VEUILLET, La mainlevée de l'opposition, 2022, n. 160 ad art. 82 LP; LACHAT, Le bail à loyer, 2019, p. 515).</w:t>
      </w:r>
    </w:p>
    <w:p>
      <w:r>
        <w:t>Le poursuivi peut faire échec à la mainlevée en rendant immédiatement vraisemblable sa libération (art. 82 al. 2 LP).</w:t>
      </w:r>
    </w:p>
    <w:p>
      <w:r>
        <w:t>- 6/9 -</w:t>
      </w:r>
    </w:p>
    <w:p>
      <w:r>
        <w:t>C/8618/2024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Son rôle n'est pas d'interpréter des contrats ou d'autres documents, mais d'accorder rapidement, après examen sommaire des faits et du droit, une protection provisoire au requérant dont la situation paraît claire (ACJC/658/2012 du 11 mai 2012 consid. 5.2; ACJC/1211/1999 du 25 novembre 1999 consid. 3; arrêt du Tribunal fédéral du 10 mai 1968, résumé in JdT 1969 II 32).</w:t>
      </w:r>
    </w:p>
    <w:p>
      <w:r>
        <w:t>3.1.2 Légalement, un bail est valable même lorsque le locataire n'a pas l'intention d'utiliser lui-même l'appartement, à moins que les parties n'aient convenu du contraire et prévu que le locataire doit habiter personnellement l'appartement, en d'autres termes aient exclu la sous-location. Par conséquent, la précision, dans le contrat lui-même, que l'appartement est réservé à l'usage d'un tiers constitue une modalité d'utilisation, voire un consentement donné par avance à une sous- location (arrêt du Tribunal fédéral 4A_287/2021 du 7 juin 2022 consid. 6.3).</w:t>
      </w:r>
    </w:p>
    <w:p>
      <w:r>
        <w:t>La colocation offre au bailleur l'avantage d'être confronté à deux ou plusieurs locataires qui répondent solidairement des obligations découlant du bail. Il peut réclamer à chacun des colocataires la totalité du loyer, des frais accessoires et des autres obligations économiques découlant du bail. En ce sens, la colocation diminue les risques du bailleur et lui offre une forme de garantie. Dès lors, avant d'octroyer un logement ou un local commercial, le bailleur demande fréquemment qu'un tiers s'engage aux côtés du futur occupant des lieux, par exemple, un père ou une mère signant avec leur fille ou leur fils le bail d'une résidence d'étudiants, une femme fortunée signant un bail d'une étude d'avocats avec son mari avocat pour des motifs de solvabilité. Ces hypothèses correspondent toutes à une colocation, même si le bail commun présuppose d'ordinaire que l'usage des locaux soit cédé à l'ensemble des signataires du contrat. Le fait que le tiers ait agi dans l'intérêt de l'occupant des lieux, afin qu'il se voie attribuer le bail, devrait suffire</w:t>
      </w:r>
    </w:p>
    <w:p>
      <w:r>
        <w:t>- 7/9 -</w:t>
      </w:r>
    </w:p>
    <w:p>
      <w:r>
        <w:t>C/8618/2024 en règle générale à faire admettre l'hypothèse d'une véritable colocation. Une conception trop stricte de la colocation aurait pour effet de restreindre l'accès au marché locatif pour les personnes économiquement faibles (LACHAT, op. cit., p. 94).</w:t>
      </w:r>
    </w:p>
    <w:p>
      <w:r>
        <w:t>En pratique, certains de ces colocataires, non-occupants de lieux, tentent de soutenir, au moment de devoir assumer leurs obligations, qu'ils ne seraient en réalité que des "garants". La signature du bail, aux côtés de l'occupant des lieux, n'équivaudrait, selon eux, qu'à une reprise cumulative de dette, limitée à certaines obligations, ou à un cautionnement (art. 492 ss CO) nul pour vice de forme (LACHAT, op. cit., p. 95).</w:t>
      </w:r>
    </w:p>
    <w:p>
      <w:r>
        <w:t>Selon LACHAT, pareille thèse ne doit être admise que dans des cas très exceptionnels, étant précisé que pour trancher cette question, il faut interpréter le contrat conformément à l'art. 18 CO, en recherchant en premier lieu la volonté réelle des parties, et, à défaut d'y parvenir, appliquer le principe de la confiance. Accepter de signer un bail pour permettre à son protégé de se voir attribuer un logement, puis soutenir que cet engagement est un cautionnement déguisé nul heurte la conception de la bonne foi (LACHAT, op. cit., p. 95; arrêts du Tribunal fédéral 4A_703/2012 du 22 avril 2013, consid. 3; 4A_624/2017 du 8 mai 2018 consid. 3; 4A_287/2021 du 7 juin 2022 consid. 6.2.1).</w:t>
      </w:r>
    </w:p>
    <w:p>
      <w:r>
        <w:t>3.1.3 Selon l'art. 2 al. 1 CC, chacun est tenu d'exercer ses droits et d'exécuter ses obligations selon les règles de la bonne foi.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w:t>
      </w:r>
    </w:p>
    <w:p>
      <w:r>
        <w:rPr>
          <w:b/>
        </w:rPr>
        <w:t>E. 3.2</w:t>
      </w:r>
    </w:p>
    <w:p>
      <w:r>
        <w:t>En l'espèce, la lettre du contrat indique que le recourant est colocataire et qu'il est engagé conjointement et solidairement avec G______ et F______.</w:t>
      </w:r>
    </w:p>
    <w:p>
      <w:r>
        <w:t>Il n'y a pas lieu, dans le cadre d'une procédure de mainlevée de l'opposition, lors de laquelle la cognition du juge est restreinte, de s'écarter de la lettre claire du titre produit à l'appui de la demande de mainlevée.</w:t>
      </w:r>
    </w:p>
    <w:p>
      <w:r>
        <w:t>La situation dans laquelle une personne s'engage en tant que colocataire à répondre du loyer, alors même qu'elle n'entend pas elle-même occuper les locaux, afin d'offrir au bailleur une garantie financière pour permettre à un proche d'obtenir la conclusion d'un contrat de bail, est fréquente en pratique. Selon la</w:t>
      </w:r>
    </w:p>
    <w:p>
      <w:r>
        <w:t>- 8/9 -</w:t>
      </w:r>
    </w:p>
    <w:p>
      <w:r>
        <w:t>C/8618/2024 jurisprudence, cet engagement ne contrevient, sauf cas exceptionnel, pas à une disposition légale impérative.</w:t>
      </w:r>
    </w:p>
    <w:p>
      <w:r>
        <w:t>Or, le recourant ne rend pas vraisemblable l'existence de telles circonstances exceptionnelles.</w:t>
      </w:r>
    </w:p>
    <w:p>
      <w:r>
        <w:t>A cela s'ajoute que, comme le relève LACHAT, l'attitude d'un colocataire, qui, tel le recourant, accepte de signer un bail pour permettre à des proches de se voir attribuer un logement, puis soutient que cet engagement est nul au moment de s'acquitter de ses obligations, heurte la conception de la bonne foi et n'est vraisemblablement pas conforme à l'interdiction de l'abus de droit.</w:t>
      </w:r>
    </w:p>
    <w:p>
      <w:r>
        <w:t>Le Tribunal a dès lors considéré à juste titre que le contrat de bail produit par le recourant constituait un titre de mainlevée provisoire de l'opposition.</w:t>
      </w:r>
    </w:p>
    <w:p>
      <w:r>
        <w:t>Il n'y a pas lieu, contrairement à ce que soutient le recourant, de déduire du montant de la dette poursuivie la somme de 9'000 fr. versée au titre de garantie de loyer. Les pièces nouvelles produites par le recourant à l'appui de ses allégations sur ce point sont irrecevables, de sorte que l'on ignore si les intimés ont effectivement perçu ce montant. Il n'est pas non plus rendu vraisemblable que, à supposer que ce montant ait été versé aux intimés, il ait permis d'éteindre les loyers dus pour la période de février à octobre 2023, laquelle fait l'objet du commandement de payer litigieux.</w:t>
      </w:r>
    </w:p>
    <w:p>
      <w:r>
        <w:t>Enfin, le recourant n'a pas allégué, ni a fortiori, rendu vraisemblable, que l'appartement litigieux aurait été restitué au 31 août 2023, date de prise d'effet de la résiliation de bail signifiée par les intimés. Les locaux ayant ainsi été encore vraisemblablement occupés par l'un ou l'autre des colocataires jusqu'en octobre 2023, le loyer reste dû.</w:t>
      </w:r>
    </w:p>
    <w:p>
      <w:r>
        <w:t>Le recours sera dès lors rejeté.</w:t>
      </w:r>
    </w:p>
    <w:p>
      <w:r>
        <w:rPr>
          <w:b/>
        </w:rPr>
        <w:t>E. 4</w:t>
      </w:r>
    </w:p>
    <w:p>
      <w:r>
        <w:t>Le recourant, qui succombe, sera condamné aux frais du recours (art. 106 al.1 CPC).</w:t>
      </w:r>
    </w:p>
    <w:p>
      <w:r>
        <w:t>Les frais judiciaires seront arrêtés à 600 fr. et compensés avec l'avance fournie, acquise à l'Etat de Genève (art. 48 et 61 OELP).</w:t>
      </w:r>
    </w:p>
    <w:p>
      <w:r>
        <w:t>Une indemnité de 800 fr., débours et TVA, inclus sera allouée aux intimés à titre de dépens (art. 84, 85, 88 à 90 RTFMC).</w:t>
      </w:r>
    </w:p>
    <w:p>
      <w:r>
        <w:t>* * * * *</w:t>
      </w:r>
    </w:p>
    <w:p>
      <w:r>
        <w:t>- 9/9 -</w:t>
      </w:r>
    </w:p>
    <w:p>
      <w:r>
        <w:t>C/8618/2024 PAR CES MOTIFS, La Chambre civile : A la forme : Déclare recevable le recours interjeté le 20 septembre 2024 par A______ contre le jugement JTPI/10377/2024 rendu le 9 septembre 2024 par le Tribunal de première instance dans la cause C/8618/2024–20 SML. Au fond : Le rejette. Déboute les parties de toutes autres conclusions. Sur les frais : Met à la charge de A______ les frais judiciaires de recours, arrêtés à 600 fr. et compensés avec l'avance fournie, acquise à l'Etat de Genève. Condamne A______ à verser à l'Hoirie de feu B______, à savoir C______, D______ et E______, solidairement entre eux, 800 fr. à titre de dépens de recours.</w:t>
      </w:r>
    </w:p>
    <w:p>
      <w:r>
        <w:t>Siégeant : Monsieur Laurent RIEBEN, président; Madame Fabienne GEISINGER-MARIETHOZ, Madame Nathalie RAPP,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