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ACJC/11/2016 vom 12. Januar 2016</w:t>
      </w:r>
    </w:p>
    <w:p>
      <w:r>
        <w:t>GE Cour de justice, 2016-01-12, FR</w:t>
      </w:r>
    </w:p>
    <w:p>
      <w:r>
        <w:rPr>
          <w:b/>
        </w:rPr>
        <w:t xml:space="preserve">Quelle: </w:t>
      </w:r>
      <w:r>
        <w:t>https://mcp.opencaselaw.ch/entscheid/ge_gerichte_ACJC_11_2016</w:t>
      </w:r>
    </w:p>
    <w:p>
      <w:r>
        <w:t>FR: GE_GERICHTE ACJC/11/2016 du 12 janvier 2016</w:t>
      </w:r>
    </w:p>
    <w:p>
      <w:r>
        <w:t>IT: GE_GERICHTE ACJC/11/2016 del 12 gennaio 2016</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 à la forme.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- 4/7 -</w:t>
      </w:r>
    </w:p>
    <w:p>
      <w:r>
        <w:t>C/23845/2015</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Une partie de la doctrine est également de cet avis (FREIBURGHAUS/AFHELDT, in Kommentar zur Schweizerischen Zivilprozes- sordnung (ZPO), Bâle, 2ème éd. 2013, n. 4 ad art. 326 CPC; BRUNNER, in Kurzkommentar ZPO, Bâle 2ème éd. 2013, n. 4 ad art. 326 CPC).</w:t>
      </w:r>
    </w:p>
    <w:p>
      <w:r>
        <w:t>Il s'ensuit que les faits nouveaux exposés par le recourant sont irrecevables.</w:t>
      </w:r>
    </w:p>
    <w:p>
      <w:r>
        <w:rPr>
          <w:b/>
        </w:rPr>
        <w:t>E. 4</w:t>
      </w:r>
    </w:p>
    <w:p>
      <w:r>
        <w:t>Le recourant fait grief au Tribunal d'avoir considéré qu'il n'a pas rendu vraisemblable l'existence de biens appartenant au débiteur, sauf pour le véhicule. A son avis, la désignation de deux numéros de comptes bancaires et de deux banques déterminées, d'une part, ainsi que de la caisse d'assurance, du type et du montant de la rente, d'autre part, répond à l'exigence de vraisemblance, seule requise en matière de séquestre.</w:t>
      </w:r>
    </w:p>
    <w:p>
      <w:r>
        <w:rPr>
          <w:b/>
        </w:rPr>
        <w:t>E. 4.1</w:t>
      </w:r>
    </w:p>
    <w:p>
      <w:r>
        <w:t>Le créancier d'une dette échue et non garantie par gage peut requérir le séquestre des biens du débiteur qui se trouvent en Suisse, lorsqu'il possède contre celui-ci un acte de défaut de biens provisoire ou définitif (art. 271 al. 1 ch. 5 LP) ou un titre de mainlevée définitive (art. 271 al. 1 ch. 6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rPr>
          <w:b/>
        </w:rPr>
        <w:t>E. 4.2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w:t>
      </w:r>
    </w:p>
    <w:p>
      <w:r>
        <w:t>- 5/7 -</w:t>
      </w:r>
    </w:p>
    <w:p>
      <w:r>
        <w:t>C/23845/2015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du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En outre, l'existence de la relation bancaire doit être rendue vraisemblable (STOFFEL, in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A défaut d'indices concrets sur l'existence d'éléments de fortune, le séquestre est investigatoire (STOFFEL, op. cit., n. 38 ad art. 272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4.3</w:t>
      </w:r>
    </w:p>
    <w:p>
      <w:r>
        <w:t>En l'espèce, le recourant ne rend pas vraisemblable que les deux relations bancaires qu'il désigne lient le débiteur à la banque qu'il mentionne, ni que celui- ci perçoit une rente de l'assurance accident. Contrairement à ce qu'il soutient, ses simples allégations ne suffisent pas à rendre plausible l'existence de biens appartenant au débiteur, même s'il vise une rente et des comptes bancaires spécifiques, ainsi que des banques et une assurance déterminées. La note de service du 16 novembre 2015 n'a pas plus de valeur qu'une simple allégation du recourant. Celui-ci ne produit aucune pièce ou ensemble de pièces permettant au juge du séquestre d'acquérir, sur le plan de la simple vraisemblance, la conviction qu'il existe, auprès des banques en question, des avoirs appartenant au débiteur et que celui-ci perçoit une rente de la SUVA. En tout état, il ne fournit aucune explication au sujet de l'auteur de la note de service ni de la manière dont celui-ci aurait eu connaissance des renseignements y figurant, de sorte que le juge du séquestre ne dispose d'aucun élément lui permettant d'apprécier les allégations du recourant. En définitive, le Tribunal n'a pas violé la loi en rejetant la requête de séquestre en tant qu'elle visait des comptes bancaires et une rente, de sorte que le recours sera rejeté.</w:t>
      </w:r>
    </w:p>
    <w:p>
      <w:r>
        <w:rPr>
          <w:b/>
        </w:rPr>
        <w:t>E. 5</w:t>
      </w:r>
    </w:p>
    <w:p>
      <w:r>
        <w:t>Les frais judiciaires du recours seront arrêtés à 600 fr. (art. 48 et 61 al. 1 OELP). Ils seront mis à la charge du recourant, qui succombe (art. 106 al. 1 CPC). Ils seront entièrement compensés avec l'avance de frais, d'un montant correspondant, fournie par celui-ci, laquelle reste acquise à l'Etat de Genève (art. 111 al. 1 CPC). * * * * *</w:t>
      </w:r>
    </w:p>
    <w:p>
      <w:r>
        <w:t>- 7/7 -</w:t>
      </w:r>
    </w:p>
    <w:p>
      <w:r>
        <w:t>C/23845/2015 PAR CES MOTIFS, La Chambre civile : A la forme : Déclare recevable le recours interjeté le 27 novembre 2015 par l'ETAT DE GENEVE, soit pour lui le SERVICE CANTONAL D'AVANCE ET DE RECOUVREMENT DES PENSIONS ALIMENTAIRES, contre l'ordonnance SQ/574/2015 rendue le 17 novembre 2015 par le Tribunal de première instance dans la cause C/23845/2015-4 SQP. Au fond : Le rejette. Déboute l'ETAT DE GENEVE, soit pour lui le SERVICE CANTONAL D'AVANCE ET DE RECOUVREMENT DES PENSIONS ALIMENTAIRES, de toutes ses conclusions. Sur les frais : Arrête les frais judiciaires du recours à 600 fr., les met à la charge de l'ETAT DE GENEVE, soit pour lui le SERVICE CANTONAL D'AVANCE ET DE RECOUVREMENT DES PENSIONS ALIMENTAIRES, et les compense avec l'avance de frais, qui reste acquise à l'Etat de Genève, Services financiers du Pouvoir judiciaire. Siégeant : Madame Sylvie DROIN, présidente; Madame Nathalie LANDRY-BARTHE, Monsieur Ivo BUETTI, juges; Madame Marie NIERMARÉCHAL, greffière.</w:t>
      </w:r>
    </w:p>
    <w:p>
      <w:r>
        <w:t>La présidente : Sylvie DROIN</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