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ACJC/1197/2017 vom 19. September 2017</w:t>
      </w:r>
    </w:p>
    <w:p>
      <w:r>
        <w:t>GE Cour de justice, 2017-09-19, FR</w:t>
      </w:r>
    </w:p>
    <w:p>
      <w:r>
        <w:rPr>
          <w:b/>
        </w:rPr>
        <w:t xml:space="preserve">Quelle: </w:t>
      </w:r>
      <w:r>
        <w:t>https://mcp.opencaselaw.ch/entscheid/ge_gerichte_ACJC_1197_2017</w:t>
      </w:r>
    </w:p>
    <w:p>
      <w:r>
        <w:t>FR: GE_GERICHTE ACJC/1197/2017 du 19 septembre 2017</w:t>
      </w:r>
    </w:p>
    <w:p>
      <w:r>
        <w:t>IT: GE_GERICHTE ACJC/1197/2017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t>- 3/7 -</w:t>
      </w:r>
    </w:p>
    <w:p>
      <w:r>
        <w:t>C/7797/2017</w:t>
      </w:r>
    </w:p>
    <w:p>
      <w:r>
        <w:rPr>
          <w:b/>
        </w:rPr>
        <w:t>E. 2</w:t>
      </w:r>
    </w:p>
    <w:p>
      <w:r>
        <w:t>Une transaction, un acquiescement ou un désistement d'action a les effets d'une décision entrée en force (art. 241 al. 2 CPC). Le tribunal raye l'affaire du rôle (art. 241 al. 3 CPC).</w:t>
      </w:r>
    </w:p>
    <w:p>
      <w:r>
        <w:t>La défenderesse ayant acquiescé à la demande, il sera fait droit aux conclusions de la demanderesse.</w:t>
      </w:r>
    </w:p>
    <w:p>
      <w:r>
        <w:t>La présente cause sera par conséquent rayée du rôle de la Cour.</w:t>
      </w:r>
    </w:p>
    <w:p>
      <w:r>
        <w:rPr>
          <w:b/>
        </w:rPr>
        <w:t>E. 3</w:t>
      </w:r>
    </w:p>
    <w:p>
      <w:r>
        <w:t>Malgré l'acquiescement à la demande, les frais et dépens doivent néanmoins être fixés et répartis (art. 104 al. 1 CPC).</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t>- 4/7 -</w:t>
      </w:r>
    </w:p>
    <w:p>
      <w:r>
        <w:t>C/7797/2017</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w:t>
      </w:r>
    </w:p>
    <w:p>
      <w:r>
        <w:t>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w:t>
      </w:r>
    </w:p>
    <w:p>
      <w:r>
        <w:t>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w:t>
      </w:r>
    </w:p>
    <w:p>
      <w:r>
        <w:t>- 5/7 -</w:t>
      </w:r>
    </w:p>
    <w:p>
      <w:r>
        <w:t>C/7797/2017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- 6/7 -</w:t>
      </w:r>
    </w:p>
    <w:p>
      <w:r>
        <w:t>C/7797/2017 PAR CES MOTIFS, La Chambre civile : A la forme : Déclare recevable la demande en paiement formée le 4 avril 2017 par PROLITTERIS, SOCIETE SUISSE DE DROITS D'AUTEUR POUR L'ART LITTERAIRE ET PLASTIQUE, COOPERATIVE contre A______SARL dans la cause C/7797/2017. Au fond : Donne acte à A______SARL de son engagement à verser à PROLITTERIS, SOCIETE SUISSE DE DROITS D'AUTEUR POUR L'ART LITTERAIRE ET PLASTIQUE, COOPERATIVE les sommes de 61 fr. 50 avec intérêts à 5% l'an dès le 4 janvier 2016 et 30 fr. 75 avec intérêts à 5% l'an dès le 11 novembre 2015, à titre de redevances pour les années 2012 à 2015.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A______SARL. Condamne en conséquence A______SARL à verser 200 fr. à PROLITTERIS, SOCIETE SUISSE DE DROITS D'AUTEUR POUR L'ART LITTERAIRE ET PLASTIQUE, COOPERATIVE à titre de remboursement de l'avance de frais. Condamne A______SARL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 La présidente : Valérie LAEMMEL-JUILLARD</w:t>
      </w:r>
    </w:p>
    <w:p>
      <w:r>
        <w:t>La greffière : Audrey MARASCO</w:t>
      </w:r>
    </w:p>
    <w:p>
      <w:r>
        <w:t>- 7/7 -</w:t>
      </w:r>
    </w:p>
    <w:p>
      <w:r>
        <w:t>C/7797/2017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