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ACJC/1197/2013 vom 30. September 2013</w:t>
      </w:r>
    </w:p>
    <w:p>
      <w:r>
        <w:t>GE Cour de justice, 2013-09-30, FR</w:t>
      </w:r>
    </w:p>
    <w:p>
      <w:r>
        <w:rPr>
          <w:b/>
        </w:rPr>
        <w:t xml:space="preserve">Quelle: </w:t>
      </w:r>
      <w:r>
        <w:t>https://mcp.opencaselaw.ch/entscheid/ge_gerichte_ACJC_1197_2013</w:t>
      </w:r>
    </w:p>
    <w:p>
      <w:r>
        <w:t>FR: GE_GERICHTE ACJC/1197/2013 du 30 septembre 2013</w:t>
      </w:r>
    </w:p>
    <w:p>
      <w:r>
        <w:t>IT: GE_GERICHTE ACJC/1197/2013 del 30 settembre 2013</w:t>
      </w:r>
    </w:p>
    <w:p>
      <w:pPr>
        <w:pStyle w:val="Heading2"/>
      </w:pPr>
      <w:r>
        <w:t>Erwägungen</w:t>
      </w:r>
    </w:p>
    <w:p>
      <w:r>
        <w:rPr>
          <w:b/>
        </w:rPr>
        <w:t>E. 1.1</w:t>
      </w:r>
    </w:p>
    <w:p>
      <w:r>
        <w:t>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BOHNET/HALDY/JEANDIN/SCHWEIZER/ TAPPY [éd.], 2011, n. 10, 14 et 15 ad art. 319 CPC; TAPPY, in CPC commenté précité,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En l'espèce, le recours a été introduit dans les délai et forme prescrits par la loi (art. 130, 131 et 321 CPC). Il est recevable à cet égard. Reste à déterminer si l'or- donnance querellée est susceptible de causer un préjudice difficilement réparable au recourant.</w:t>
      </w:r>
    </w:p>
    <w:p>
      <w:r>
        <w:rPr>
          <w:b/>
        </w:rPr>
        <w:t>E. 1.2</w:t>
      </w:r>
    </w:p>
    <w:p>
      <w:r>
        <w:t>Les trois pièces produites devant la Cour par l'intimé sont irrecevables (art. 326 al. 1 CPC); elles ne sont au demeurant pas décisives pour l'issue du pré- sent litige.</w:t>
      </w:r>
    </w:p>
    <w:p>
      <w:r>
        <w:rPr>
          <w:b/>
        </w:rPr>
        <w:t>E. 1.3</w:t>
      </w:r>
    </w:p>
    <w:p>
      <w:r>
        <w:t>La notion de "préjudice difficilement réparable" est plus large que celle de "préjudice irréparable" au sens de l'art. 93 al. 1 let. a LTF (ATF 137 III 380 consid. 2, SJ 2012 I 73; arrêt du Tribunal fédéral 5D_211/2011 du 30 mars 2012, consid. 6.3; ACJC/327/2012 du 9 mars 2012, consid. 2.4). Est considérée comme "préjudice difficilement réparable", toute incidence dommageable (y compris</w:t>
      </w:r>
    </w:p>
    <w:p>
      <w:r>
        <w:t>- 5/7 -</w:t>
      </w:r>
    </w:p>
    <w:p>
      <w:r>
        <w:t>C/4703/2012 financière ou temporelle), pourvu qu'elle soit difficilement réparable. L'instance supérieure devra se montrer exigeante, voire restrictive, avant d'admettre l'accom- plissement de cette condition (JEANDIN, op. cit., n. 22 ad art. 319 CPC; GUYAN, Beweisverfügung nach Art. 154 ZPO, in ZZZ 2011/2012, p. 175). Il appartient au recourant d'alléguer et d'établir la possibilité que la décision inci- dente lui cause un préjudice difficilement réparable, à moins que cela ne fasse d'emblée aucun doute (cf. par analogie ATF 134 III 426 consid. 1.2 p. 429 et 133 III 629 consid. 2.3.1 p. 632). Le seul fait que le recourant ne puisse se plaindre d'une violation des dispositions en matière de preuve qu'à l'occasion d'un appel sur le fond ne saurait être consi- déré comme suffisant pour retenir que la décision entreprise est susceptible de lui causer un préjudice difficilement réparable. Retenir le contraire équivaudrait à permettre à un plaideur de contester immédiatement toute ordonnance d'instruc- tion pouvant avoir un effet sur le sort de la cause, ce que le législateur a justement voulu éviter (ACJC/734/2013 du 7 juin 2013). Lorsque la condition du préjudice difficilement réparable n'est pas remplie, la dé- cision incidente n'est alors attaquable qu'avec le jugement au fond (ACJC/327/2012 du 9 mars 2012 consid. 2.4 et les références citées; Message du Conseil fédéral relatif au CPC, FF 2006 6841, p. 6984; JEANDIN, op. cit., n. 24 et ss ad art. 319 CPC; BRUNNER, in Kurzkommentar, Schweizerische Zivil- prozessordnung ZPO, Bâle 2010, n. 13 ad art. 319 CPC; BLICKENSTORFER, in Schweizerische Zivilprozessordnung [ZPO], BRUNNER/GASSER/SCHWANDER [éd.], 2011, n. 40 ad art. 319 ZPO).</w:t>
      </w:r>
    </w:p>
    <w:p>
      <w:r>
        <w:rPr>
          <w:b/>
        </w:rPr>
        <w:t>E. 1.4</w:t>
      </w:r>
    </w:p>
    <w:p>
      <w:r>
        <w:t>En l'espèce, le recourant soutient que le fait d'admettre la production non excusable, par l'intimé, de moyens de preuves nouveaux anciens, après le dépôt de ses écritures de réplique, lui causerait un préjudice difficilement réparable dès lors que cela reviendrait à l'avoir contraint d'épuiser son droit de réponse, dans le cadre d'un deuxième échange d'écritures, sans lui avoir donné l'occasion de se déter- miner sur la grande quantité de pièces que l'intimé détenait depuis l'introduction de la procédure.</w:t>
      </w:r>
    </w:p>
    <w:p>
      <w:r>
        <w:rPr>
          <w:b/>
        </w:rPr>
        <w:t>E. 1.4.1</w:t>
      </w:r>
    </w:p>
    <w:p>
      <w:r>
        <w:t>L'art. 29 al. 2 Cst. confère aux parties le droit d'être entendues. Cette garan- tie comprend notamment un droit de réplique au sens large, c'est-à-dire le droit de prendre connaissance et de se déterminer sur toute prise de position soumise au tribunal, qu'elle contienne ou non des éléments nouveaux (ATF 138 I 154 consid. 2.3.3; 137 I 195 consid 2.3.1). Il appartient à la partie concernée et non au juge de décider si l'argumentation présentée contient des éléments déterminants qui appellent des observations. Concrètement, le juge peut décider d'ordonner un nouvel échange d'écritures, fixer formellement un délai pour déposer d'éventuelles déterminations, ou simplement transmettre la prise de position pour information.</w:t>
      </w:r>
    </w:p>
    <w:p>
      <w:r>
        <w:t>- 6/7 -</w:t>
      </w:r>
    </w:p>
    <w:p>
      <w:r>
        <w:t>C/4703/2012 Le droit de réplique, qui est inconditionnel, peut être exercé dans toutes ces situa- 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4.6 et 4.8; 133 I 98 consid 2.2; 132 I 42 consid. 3.3.2 et 3.3.4; arrêts du Tribunal fédéral 5A_263/2013 du 13 août 2013 consid 2.2; 4A_660/2012 du 18 avril 2013 consid. 2.2. in RSPC 2013 p. 290 n. 1335; 4A_680/2012 du 7 mars 2013 consid. 2.2).</w:t>
      </w:r>
    </w:p>
    <w:p>
      <w:r>
        <w:rPr>
          <w:b/>
        </w:rPr>
        <w:t>E. 1.4.2</w:t>
      </w:r>
    </w:p>
    <w:p>
      <w:r>
        <w:t>En l'espèce, l'ordonnance querellée a expressément prévu la possibilité pour le recourant de s'exprimer au plus tard lors de l'audience de débats d'instruction fixée par le Tribunal au 18 juin 2013, soit après la communication des pièces liti- gieuses, fixée au 21 mai 2013, mais avant l'ouverture des débats principaux. Dès lors, contrairement à ce qu'il soutient, le recourant s'est vu garantir la possi- bilité de se prononcer sur les pièces produites par l'intimé, de sorte que son droit d'être entendu n'a pas été violé, à teneur des principes sus-rappelés. Par ailleurs, si le recourant estime que la production de l'intégralité de la procé- dure traitée par feu Me C______ a été admise à tort par le Tribunal, il pourra diriger ses griefs contre la décision finale par la voie de l'appel de 308 CPC. Le recourant n'alléguant aucune autre circonstance susceptible de lui causer un préjudice difficilement réparable, le chef de conclusions tendant à l'annulation de l'ordonnance entreprise est irrecevable.</w:t>
      </w:r>
    </w:p>
    <w:p>
      <w:r>
        <w:rPr>
          <w:b/>
        </w:rPr>
        <w:t>E. 2</w:t>
      </w:r>
    </w:p>
    <w:p>
      <w:r>
        <w:t>Le recourant, qui succombe, sera condamné aux frais judiciaires du recours, ceux- ci étant fixés à 1'000 fr. (art. 104 al. 1, 105 et 106 al. 1 CPC, art. 23 et Règlement fixant le tarif des greffes en matière civile [RTFMC; E 1 05.10]). Ce montant est compensé par l'avance de frais du même montant effectuée par le recourant, qui reste acquises à l'Etat (art. 111 CPC). L'intimé agissant en personne et n'ayant, au demeurant, pas sollicité de défraie- ment, l'allocation de dépens en sa faveur ne se justifie pas (art. 95 al. 3 let. a et c CPC).</w:t>
      </w:r>
    </w:p>
    <w:p>
      <w:r>
        <w:rPr>
          <w:b/>
        </w:rPr>
        <w:t>E. 3</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- 7/7 -</w:t>
      </w:r>
    </w:p>
    <w:p>
      <w:r>
        <w:t>C/4703/2012 PAR CES MOTIFS, La Chambre civile : Déclare irrecevable le recours formé par A______ contre l'ordonnance OTPI/674/2013 rendue le 30 avril 2013 par le Tribunal de première instance dans la cause C/4703/2012- 19. Arrête les frais judiciaires de recours à 1'000 fr. et les met à la charge de A______. Déboute les parties de toutes autres conclusions.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