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ACJC/1185/2016 vom 15. September 2016</w:t>
      </w:r>
    </w:p>
    <w:p>
      <w:r>
        <w:t>GE Cour de justice, 2016-09-15, FR</w:t>
      </w:r>
    </w:p>
    <w:p>
      <w:r>
        <w:rPr>
          <w:b/>
        </w:rPr>
        <w:t xml:space="preserve">Quelle: </w:t>
      </w:r>
      <w:r>
        <w:t>https://mcp.opencaselaw.ch/entscheid/ge_gerichte_ACJC_1185_2016</w:t>
      </w:r>
    </w:p>
    <w:p>
      <w:r>
        <w:t>FR: GE_GERICHTE ACJC/1185/2016 du 15 septembre 2016</w:t>
      </w:r>
    </w:p>
    <w:p>
      <w:r>
        <w:t>IT: GE_GERICHTE ACJC/1185/2016 del 15 settembre 2016</w:t>
      </w:r>
    </w:p>
    <w:p>
      <w:pPr>
        <w:pStyle w:val="Heading2"/>
      </w:pPr>
      <w:r>
        <w:t>Erwägungen</w:t>
      </w:r>
    </w:p>
    <w:p>
      <w:r>
        <w:rPr>
          <w:b/>
        </w:rPr>
        <w:t>E. 1.1</w:t>
      </w:r>
    </w:p>
    <w:p>
      <w:r>
        <w:t>Les jugements sur mesures provisionnelles sont susceptibles d'un appel si l'affaire est non pécuniaire ou si, étant pécuniaire, sa valeur litigieuse atteint 10'000 fr. (art. 308 al. 1 let. b CPC). Si la durée des revenus et prestations périodiques est indéterminée ou illimitée, le capital est constitué du montant annuel du revenu ou de la prestation multiplié par vingt (art. 92 al. 2 CPC).</w:t>
      </w:r>
    </w:p>
    <w:p>
      <w:r>
        <w:t>En l'espèce, le litige porte exclusivement sur la contribution à l'entretien de la famille, soit une contestation de nature pécuniaire, dont la valeur capitalisée est supérieure à 10'000 fr., compte tenu des montants litigieux devant le premier juge.</w:t>
      </w:r>
    </w:p>
    <w:p>
      <w:r>
        <w:rPr>
          <w:b/>
        </w:rPr>
        <w:t>E. 1.2</w:t>
      </w:r>
    </w:p>
    <w:p>
      <w:r>
        <w:t>L'appel a été interjeté dans le délai de dix jours (art. 142, 143 et 314 al. 1 CPC) et suivant la forme prescrits par la loi (art. 130, 131 et 311 al. 1 CPC), de sorte qu'il est recevable.</w:t>
      </w:r>
    </w:p>
    <w:p>
      <w:r>
        <w:rPr>
          <w:b/>
        </w:rPr>
        <w:t>E. 2</w:t>
      </w:r>
    </w:p>
    <w:p>
      <w:r>
        <w:t>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3</w:t>
      </w:r>
    </w:p>
    <w:p>
      <w:r>
        <w:t>L'appelant a produit des pièces nouvelles à l'appui de son écriture.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t>- 6/8 -</w:t>
      </w:r>
    </w:p>
    <w:p>
      <w:r>
        <w:t>C/21076/2015</w:t>
      </w:r>
    </w:p>
    <w:p>
      <w:r>
        <w:rPr>
          <w:b/>
        </w:rPr>
        <w:t>E. 3.2</w:t>
      </w:r>
    </w:p>
    <w:p>
      <w:r>
        <w:t>En l'espèce, les pièces versées par l'appelant devant la Cour permettent de déterminer sa situation personnelle et financière et comportent les données nécessaires pour statuer sur la quotité des aliments à verser par celui-ci pour l'entretien de la famille, dont deux enfants mineurs. Les documents concernés ainsi que les éléments de faits qu'ils comportent seront donc pris en considération.</w:t>
      </w:r>
    </w:p>
    <w:p>
      <w:r>
        <w:rPr>
          <w:b/>
        </w:rPr>
        <w:t>E. 4</w:t>
      </w:r>
    </w:p>
    <w:p>
      <w:r>
        <w:t>L'appelant fait grief au premier juge de lui avoir imputé un revenu hypothétique, et critique en conséquence le montant de la contribution d'entretien mise à sa charge.</w:t>
      </w:r>
    </w:p>
    <w:p>
      <w:r>
        <w:rPr>
          <w:b/>
        </w:rPr>
        <w:t>E. 4.1</w:t>
      </w:r>
    </w:p>
    <w:p>
      <w:r>
        <w:t>Le principe et le montant de la contribution d'entretien due selon l'art. 176 al. 1 ch. 1 CC - applicable par analogie aux mesures provisionnelles (art. 276 al. 1 2e phrase CPC) - se déterminent en fonction des facultés économiques et des besoins respectifs des époux.</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w:t>
      </w:r>
    </w:p>
    <w:p>
      <w:r>
        <w:t>Le fait qu'un débirentier sans emploi n'ait pas vu ses indemnités suspendues, à titre de sanction, par une assurance sociale ne dispense pas le juge civil d'examiner si l'on peut lui imputer un revenu hypothétique. Le juge civil n'est en effet pas lié par l'instruction menée par les autorités administratives en matière de chômage ou d'assistance sociale.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w:t>
      </w:r>
    </w:p>
    <w:p>
      <w:r>
        <w:t>- 7/8 -</w:t>
      </w:r>
    </w:p>
    <w:p>
      <w:r>
        <w:t>C/21076/2015 recherches pour retrouver un emploi (ATF 137 III 118 consid. 3.1; arrêt du Tribunal fédéral 5A_929/2014 du 12 mars 2015 consid. 5 et les arrêts cités).</w:t>
      </w:r>
    </w:p>
    <w:p>
      <w:r>
        <w:rPr>
          <w:b/>
        </w:rPr>
        <w:t>E. 4.2</w:t>
      </w:r>
    </w:p>
    <w:p>
      <w:r>
        <w:t>En l'espèce, c'est à bon droit que le premier juge a imputé un revenu hypothétique à l'appelant. En effet, celui-ci n'a produit aucun document permettant d'évaluer correctement sa situation financière, indice qu'il cache des revenus. Même à supposer qu'il ne réalise aucun revenu, il n'a pas rendu vraisemblable qu'il a fait tout ce que l'on pouvait attendre de lui pour trouver un emploi. Les seules offres produites datent des 26 et 29 avril 2016, soit quelques jours après l'audience devant le Tribunal et n'ont ainsi été faites que sous la pression de la présente procédure.</w:t>
      </w:r>
    </w:p>
    <w:p>
      <w:r>
        <w:t>S'il est prévu que les bénéficiaires du RSA bénéficient d'un accompagnement pour leur recherche d'emploi, rien n'indique qu'à défaut de recherches régulières et sérieuses, ils seraient privés d'allocations. L'appelant n'a pas droit aux allocations de Pôle emploi. Le non-respect de l'obligation faite d'actes positifs de recherches d'emplois est donc sans conséquence pour lui, de sorte que sa seule inscription à cet organisme ne permet pas de considérer, même au stade de la seule vraisemblance, qu'il fait tout ce qui est en son possible pour trouver un travail.</w:t>
      </w:r>
    </w:p>
    <w:p>
      <w:r>
        <w:t>Le jugement querellé sera en conséquence confirmé.</w:t>
      </w:r>
    </w:p>
    <w:p>
      <w:r>
        <w:rPr>
          <w:b/>
        </w:rPr>
        <w:t>E. 4.3</w:t>
      </w:r>
    </w:p>
    <w:p>
      <w:r>
        <w:t>Les frais judiciaires d'appel seront fixés à 1'000 fr. (art. 31 et 37 du Règlement du 22 décembre 2010 fixant le tarif des frais en matière civile, [RTFMC - E 1 05.10]) et mis à la charge de l'appelant, qui succombe (art. 95 et 106 al. 1 CPC). L'appelant étant au bénéfice de l'assistance juridique, les frais judiciaires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Enfin, les parties conserveront à leur charge leurs propres dépens d'appel (art. 107 al. 1 let. c CPC).</w:t>
      </w:r>
    </w:p>
    <w:p>
      <w:r>
        <w:rPr>
          <w:b/>
        </w:rPr>
        <w:t>E. 5</w:t>
      </w:r>
    </w:p>
    <w:p>
      <w:r>
        <w:t>Le présent arrêt, qui statue sur mesures provisionnelles, est susceptible d'un recours en matière civile, les moyens étant limités en application de l'art. 98 LTF. * * * * *</w:t>
      </w:r>
    </w:p>
    <w:p>
      <w:r>
        <w:t>- 8/8 -</w:t>
      </w:r>
    </w:p>
    <w:p>
      <w:r>
        <w:t>C/21076/2015 PAR CES MOTIFS, La Chambre civile : A la forme : Déclare recevable l'appel interjeté le 8 juin 2016 par A______ contre l'ordonnance OTPI/262/2016 rendue le 26 mai 2016 par le Tribunal de première instance dans la cause C/21076/2015-18. Au fond : Confirme ce jugement. Déboute les parties de toutes autres conclusions. Sur les frais : Arrête les frais judiciaires d'appel à 1'000 fr. et les met à la charge de A______. Dit que ces frais à la charge de A______ sont provisoirement supportés par l'État de Genève. Dit que chaque partie supporte ses propres dépens d'appel. Siégeant : Madame Pauline ERARD, présidente; Mesdames Paola CAMPOMAGNANI et Fabienne GEISINGER-MARIÉTHOZ, juges; Madame Marie NIERMARÉCHAL, greffière. La présidente : Pauline ERARD</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