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ACJC/1183/2013 vom 2. Oktober 2013</w:t>
      </w:r>
    </w:p>
    <w:p>
      <w:r>
        <w:t>GE Cour de justice, 2013-10-02, FR</w:t>
      </w:r>
    </w:p>
    <w:p>
      <w:r>
        <w:rPr>
          <w:b/>
        </w:rPr>
        <w:t xml:space="preserve">Quelle: </w:t>
      </w:r>
      <w:r>
        <w:t>https://mcp.opencaselaw.ch/entscheid/ge_gerichte_ACJC_1183_2013</w:t>
      </w:r>
    </w:p>
    <w:p>
      <w:r>
        <w:t>FR: GE_GERICHTE ACJC/1183/2013 du 2 octobre 2013</w:t>
      </w:r>
    </w:p>
    <w:p>
      <w:r>
        <w:t>IT: GE_GERICHTE ACJC/1183/2013 del 2 ottobre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 (art. 405 al. 1 CPC).</w:t>
      </w:r>
    </w:p>
    <w:p>
      <w:r>
        <w:t>Il en va de même pour la procédure de première instance, sur requête de mesures provisionnelles formée le 22 novembre 2011, dans le cadre de la procédure de divorce introduite en 2008. En effet, la procédure sur mesures provisionnelles a un objet différent de celui de la procédure (de divorce) au fond; en d'autres termes, elle tranche, dans une procédure distincte, des points qui ne pourront plus être revus dans le cadre du recours concernant le divorce ou ses effets accessoires (ATF 134 III 426 consid. 2.2). C'est pourquoi la procédure sur mesures provisionnelles peut être soumise à des règles de droit transitoire différentes de l'action au fond (TAPPY in BOHNET et alii, Code de procédure civile commenté, Bâle 2011, n. 15 ad art. 404 CPC). En l'espèce, c'est donc à juste titre que le premier juge a appliqué le CPC à la présente procédure sur mesures provisionnelles.</w:t>
      </w:r>
    </w:p>
    <w:p>
      <w:r>
        <w:rPr>
          <w:b/>
        </w:rPr>
        <w:t>E. 2.1</w:t>
      </w:r>
    </w:p>
    <w:p>
      <w:r>
        <w:t>L'appel est recevable contre les décisions finales de première instance; dans les affaires patrimoniales, il est recevable si la valeur litigieuse au dernier état des conclusions est de 10'000 francs au moins (art. 308 al. 1 let. et al. 2 CPC).</w:t>
      </w:r>
    </w:p>
    <w:p>
      <w:r>
        <w:t>En tant qu'elle porte sur un ordre de dépôt et de blocage d'avoirs bancaires, en application de l'art. 178 al. 2 CC, la cause est de nature pécuniaire (arrêt du Tribunal fédéral 5A_431/2009 du 31 mai 2012, consid. 1.2 avec référence).</w:t>
      </w:r>
    </w:p>
    <w:p>
      <w:r>
        <w:t>Si la décision entreprise a été rendue en procédure sommaire, le délai d'appel est de 10 jours (art. 314 al. 1 CPC).</w:t>
      </w:r>
    </w:p>
    <w:p>
      <w:r>
        <w:rPr>
          <w:b/>
        </w:rPr>
        <w:t>E. 2.2</w:t>
      </w:r>
    </w:p>
    <w:p>
      <w:r>
        <w:t>L'ordonnance entreprise porte sur des mesures provisionnelles ordonnées par le juge du divorce, en procédure sommaire, et ces mesures concernent des mesures à prendre en application de l'art. 178 CC.</w:t>
      </w:r>
    </w:p>
    <w:p>
      <w:r>
        <w:t>Saisie d'un appel contre cette ordonnance, la Cour tranche également en application de la procédure sommaire (art. 276 al. 1, art. 271 let. d CPC; JEANDIN in BOHNET et alii, Code de procédure civile commenté, Bâle 2011, n. 6 ad art. 316 CPC).</w:t>
      </w:r>
    </w:p>
    <w:p>
      <w:r>
        <w:t>- 7/12 -</w:t>
      </w:r>
    </w:p>
    <w:p>
      <w:r>
        <w:t>C/29405/2008</w:t>
      </w:r>
    </w:p>
    <w:p>
      <w:r>
        <w:rPr>
          <w:b/>
        </w:rPr>
        <w:t>E. 2.3</w:t>
      </w:r>
    </w:p>
    <w:p>
      <w:r>
        <w:t>En l'espèce, compte tenu de l'ampleur des fonds à déposer et à bloquer selon les conclusions de l'appelante, la valeur litigieuse de 10'000 fr. est atteinte, ou plutôt largement dépassée. La décision entreprise a été rendue en procédure sommaire (art. 276 al. 1, art. 271 let. a CPC, art. 178 CC).</w:t>
      </w:r>
    </w:p>
    <w:p>
      <w:r>
        <w:t>Respectant la forme prescrite par la loi et interjeté dans le respect du délai de recours de dix jours (art. 142 al. 1 et 3, art. 143 al. 1 et 3 CPC), le présent appel est recevable.</w:t>
      </w:r>
    </w:p>
    <w:p>
      <w:r>
        <w:rPr>
          <w:b/>
        </w:rPr>
        <w:t>E. 2.4</w:t>
      </w:r>
    </w:p>
    <w:p>
      <w:r>
        <w:t>L'appel ne suspend la force de chose jugée de la décision entreprise que dans la mesure des conclusions prises en appel (art. 315 al. 1 CPC).</w:t>
      </w:r>
    </w:p>
    <w:p>
      <w:r>
        <w:t>L'appelante ne concluant pas à l'annulation intégrale de l'ordonnance entreprise, mais uniquement à l'annulation de la partie du dispositif de cette ordonnance qui la déboute de ses conclusions tendant à la condamnation de l'intimé à déposer sur un compte bancaire bloqué une somme de près de 6 milliards de francs suisses, l'appel ne porte que sur cette question.</w:t>
      </w:r>
    </w:p>
    <w:p>
      <w:r>
        <w:rPr>
          <w:b/>
        </w:rPr>
        <w:t>E. 3</w:t>
      </w:r>
    </w:p>
    <w:p>
      <w:r>
        <w:t>En raison du domicile genevois des époux, au début de la procédure de divorce, et du domicile genevois actuel de l'appelante, les tribunaux de ce canton sont compétents tant pour statuer sur le divorce, et en particulier la liquidation du régime matrimonial, que pour ordonner les mesures provisionnelles relatives aux effets du mariage (art. 59; art. 51 let. b, art. 46 et 10 let. a LDIP). Au nombre de celles-ci figurent notamment les mesures à prendre en application de l'art. 178 al. 2 CC. Le droit applicable au divorce, au régime matrimonial et à sa liquidation, enfin aux effets du mariage, n'est autre que le droit suisse, droit du domicile commun des époux au début de la procédure de divorce et du domicile actuel de l'appelante (art. 61 al. 1, art. 54 al. 1 lit. a et art. 48 al. 2 LDIP).</w:t>
      </w:r>
    </w:p>
    <w:p>
      <w:r>
        <w:rPr>
          <w:b/>
        </w:rPr>
        <w:t>E. 4</w:t>
      </w:r>
    </w:p>
    <w:p>
      <w:r>
        <w:t>Bien que les moyens de preuve ne soient pas restreints aux seuls titres, l'administration de ceux-ci doit pouvoir intervenir immédiatement (art. 254 al. 2 let. c et 272 CPC). La décision est en principe provisoire et revêtue d'une autorité de la chose jugée limitée, et la cognition du juge est limitée à la simple vraisemblance des faits et à un examen sommaire du droit (arrêt du Tribunal fédéral 5A_12/2013 du 8 mars 2013, consid. 2.2).</w:t>
      </w:r>
    </w:p>
    <w:p>
      <w:r>
        <w:t>Tel est précisément le cas en l'espèce, puisque les mesures de sûretés sollicitées ne sont censées déployer leurs effets que jusqu'à la fin de la procédure de divorce qui est en cours.</w:t>
      </w:r>
    </w:p>
    <w:p>
      <w:r>
        <w:t>- 8/12 -</w:t>
      </w:r>
    </w:p>
    <w:p>
      <w:r>
        <w:t>C/29405/2008</w:t>
      </w:r>
    </w:p>
    <w:p>
      <w:r>
        <w:rPr>
          <w:b/>
        </w:rPr>
        <w:t>E. 5.1</w:t>
      </w:r>
    </w:p>
    <w:p>
      <w:r>
        <w:t>Dans la mesure nécessaire pour assurer l'exécution d'obligations pécuniaires découlant du mariage, le juge peut, à la requête de l'un des époux, restreindre le pouvoir de l'autre de disposer de certains de ses biens sans le consentement de son conjoint (art. 178 al. 2 CC). Le juge ordonne les mesures de sûreté appropriées (art. 178 al. 2 CC).</w:t>
      </w:r>
    </w:p>
    <w:p>
      <w:r>
        <w:t>En particulier, l'art. 178 al. 2 CC permet de garantir provisoirement des créances pécuniaires, sans devoir passer par la Loi fédérale sur la poursuite pour dettes et la faillite (LP) et, plus particulièrement, par les art. 271 ss LP relatifs au séquestre, les mesures prévues par l'art. 178 CC constituant un des cas réservés par le droit matériel et ayant le pas sur la réglementation de la poursuite pour dettes, à la fois au titre de lex posterior et de lex specialis (arrêt du Tribunal fédéral 5A_852/2010 du 28 mars 2011 consid. 3.1 publié in SJ 2012 I p. 34, avec références). A titre de mesure de sûreté, le juge peut notamment ordonner la saisie provisionnelle d'avoir bancaires d'un époux (cf. p. ex. arrêt du Tribunal fédéral 5A_262/2010 du 31 mai 2012) ou de certains biens qu'un époux détient indirectement par le biais de sociétés ou trusts, s'il a conservé un pouvoir de disposition sur ces biens (cf. arrêt du Tribunal fédéral 5A_259/2010 du 26 avril 2012, rendu antérieurement dans la présente affaire entre les mêmes parties), ou encore la consignation - soit le dépôt, puis le blocage - d'espèces ou d'autres objets de prix auprès des tribunaux, des banques ou des tiers compétents à cet effet (arrêts du Tribunal fédéral 5A_259/2010 du 26 avril 2012 consid. 7.3.2.1; 5A_852/2010 du 28 mars 2011 consid. 3.2 publié in SJ 2012 I p. 34; CHAIX, Commentaire romand, 2010, n. 9 ad art. 178 CC; ISENRING/KESSLER, Basler Kommentar, 2010, n. 23 ad art. 178 CC, HAUSHEER/REUSSER/GEISER, Berner Kommentar, 1999, n. 20b ad art. 178 CC). En outre, à titre de mesure de sûreté indirecte, l'injonction peut être assortie de la menace de l'amende pour insoumission à une décision de l'autorité, selon l'art. 292 CPS (arrêts du Tribunal fédéral 5A_259/2010 du 26 avril 2012 consid. 8; 5A_852/2010 du 23 mars 2011 consid. 3 publié in SJ 2012 I p. 34, avec références). L'art. 178 al. 2 CC tend à éviter qu'un époux, en procédant à des actes de disposition volontaires, ne se mette dans l'impossibilité de faire face à ses obligations pécuniaires envers son conjoint, dont celles découlant du régime matrimonial (acquittement de récompenses, participation aux acquêts; arrêt du Tribunal fédéral 5A_771/2010 du 24 juin 2011 consid. 6.1 avec référence). Le but des mesures de sûreté ordonnées en application de cette disposition est de maintenir la situation économique de la communauté matrimoniale (arrêt du Tribunal fédéral 5A_771/2010 du 24 juin 2011 consid. 6.2, avec référence).</w:t>
      </w:r>
    </w:p>
    <w:p>
      <w:r>
        <w:t>Toutefois, ces mesures de sûreté doivent respecter le principe de proportionnalité et ne pas dépasser ce qui est nécessaire pour atteindre l'objectif visé par la loi, qui est notamment d'assurer l'exécution d'une obligation pécuniaire résultant de la</w:t>
      </w:r>
    </w:p>
    <w:p>
      <w:r>
        <w:t>- 9/12 -</w:t>
      </w:r>
    </w:p>
    <w:p>
      <w:r>
        <w:t>C/29405/2008 liquidation du régime matrimonial (arrêt du Tribunal fédéral 5A_771/2010 du 24 juin 2011 consid. 6.2, avec référence).</w:t>
      </w:r>
    </w:p>
    <w:p>
      <w:r>
        <w:t>Pour qu'une mesure soit conforme au principe de la proportionnalité, il faut qu'elle soit apte à parvenir au but visé, que ce dernier ne puisse être atteint par une mesure moins incisive et qu'il existe un rapport raisonnable entre les effets de la mesure sur la situation de la personne visée et le résultat escompté (ATF 136 I 197 consid. 4.4.4 avec références).</w:t>
      </w:r>
    </w:p>
    <w:p>
      <w:r>
        <w:rPr>
          <w:b/>
        </w:rPr>
        <w:t>E. 5.2</w:t>
      </w:r>
    </w:p>
    <w:p>
      <w:r>
        <w:t>En l'espèce, l'appelante sollicite des sûretés, sous forme d'un versement de près de 6 milliards de francs suisses dans un délai de 10 jours, pour assurer le paiement ultérieur de sa créance de liquidation de son régime matrimonial.</w:t>
      </w:r>
    </w:p>
    <w:p>
      <w:r>
        <w:rPr>
          <w:b/>
        </w:rPr>
        <w:t>E. 5.2.1</w:t>
      </w:r>
    </w:p>
    <w:p>
      <w:r>
        <w:t>Or, l'ampleur de sa créance est inconnue, en l'état, et malaisée à déterminer sans préjuger le fond de la liquidation du régime matrimonial. En effet, l'appelante elle-même avait évalué la fortune accumulée par son époux, pendant leur mariage et jusqu'au transfert de l'essentiel de cette fortune à des trusts, en 2005, à 1 milliard de dollars US. Si le Tribunal en charge de la liquidation du régime matrimonial devait retenir une donation aux trusts, alors la valeur des biens donnés, en 2005, serait déterminante (art. 214 al. 2 CC) pour calculer la participation de l'appelante, par moitié, à cette fortune. On serait alors très loin d'une participation de près de 6 milliards de francs suisses. En revanche, sa participation serait plus élevée si le Tribunal devait écarter la dualité juridique entre l'intimé et les trusts qu'il a constitués, pour se baser sur la valeur actuelle (art. 214 al. 1 CC) des acquêts (et de leurs remplois), actuellement en mains des trusts constitués par l'intimé.</w:t>
      </w:r>
    </w:p>
    <w:p>
      <w:r>
        <w:rPr>
          <w:b/>
        </w:rPr>
        <w:t>E. 5.2.2</w:t>
      </w:r>
    </w:p>
    <w:p>
      <w:r>
        <w:t>Qui plus est, l'appelante est déjà au bénéfice d'une interdiction de disposer, assortie de la menace des peines prévues par l'art. 292 CP, qui continue à déployer ses effets juridiques, quand bien même cette interdiction ne serait d'aucun secours à l'appelante, dans la mesure où les structures juridiques créées par l'intimé continuent à disposer des biens détenus formellement en leur nom, sur "conseil" de l'intimé. L'intimé a donc déjà démontré qu'il n'entend nullement se conformer aux mesures provisionnelles ordonnées par les tribunaux genevois, persistant à invoquer la dualité juridique entre lui-même et les trusts constitués par ses soins.</w:t>
      </w:r>
    </w:p>
    <w:p>
      <w:r>
        <w:rPr>
          <w:b/>
        </w:rPr>
        <w:t>E. 5.2.3</w:t>
      </w:r>
    </w:p>
    <w:p>
      <w:r>
        <w:t>S'y ajoute que ni l'intimé lui-même, ni les trusts ne disposent d'un montant de près de 6 milliards de francs suisses en espèces, ce que l'appelante n'ignore pas puisqu'elle a elle-même fourni des pièces démontrant que le produit de l'aliénation de certains titres provenant des acquêts de l'intimé a été immédiatement réinvesti dans d'autres titres ou, pour certains titres, que leur aliénation s'est déroulée</w:t>
      </w:r>
    </w:p>
    <w:p>
      <w:r>
        <w:t>- 10/12 -</w:t>
      </w:r>
    </w:p>
    <w:p>
      <w:r>
        <w:t>C/29405/2008 directement sous forme d'échange de titres, et non pas contre un paiement en espèces. A l'évidence, l'intimé ne peut pas se procurer, dans un délai de 10 jours, des liquidités de près de 6 milliards de francs suisses, pour les consigner auprès d'une banque suisse. L'appelante ne peut du reste pas le contraindre, par le biais de l'art. 178 CC, à modifier la structure de son patrimoine : elle ne peut que faire bloquer des actifs existants dans leur forme juridique actuelle. La mesure de dépôt et de consignation sollicitée par l'appelante porterait dès lors sur des espèces dont l'intimé ne dispose pas et dont il ne peut pas disposer à brève échéance, ce qui n'est pas admissible au regard de l'art. 178 al. 2 CC. Ordonner ce dépôt et cette consignation serait donc, en l'espèce, une mesure inapte à parvenir au but visé et disproportionnée par rapport au résultat escompté. Il s'ensuit que c'est à juste titre que le premier juge a débouté l'appelante de ses conclusions y relatives. Il convient de confirmer l'ordonnance entreprise, en tant qu'elle déboute les parties - dont l'appelante - de toutes autres conclusions.</w:t>
      </w:r>
    </w:p>
    <w:p>
      <w:r>
        <w:rPr>
          <w:b/>
        </w:rPr>
        <w:t>E. 6</w:t>
      </w:r>
    </w:p>
    <w:p>
      <w:r>
        <w:t>Compte tenu, notamment, de la valeur litigieuse importante de la cause, les frais judiciaires d'appel (au sens de l'art. 95 CPC) sont arrêtés à 7'500 fr. (art. 95 al. 2, art. 96 CPC, art. 19 al. 4 LaCC, art. 31 RTFMC) et mis à la charge de l'appelante, qui succombe. Ils sont compensés avec l'avance de 9'800 fr. opérée par l'appelante, qui reste acquise à l'Etat à due concurrence (art. 111 al. 1 CPC), l'Etat étant invité à rembourser à l'appelante le trop-perçu de 2'300 fr. Compte tenu des qualités d'époux des parties, chacune d'entre elles supportera ses propres dépens d'appel (art. 107 al. 1 let. c CPC).</w:t>
      </w:r>
    </w:p>
    <w:p>
      <w:r>
        <w:rPr>
          <w:b/>
        </w:rPr>
        <w:t>E. 7</w:t>
      </w:r>
    </w:p>
    <w:p>
      <w:r>
        <w:t>La valeur litigieuse est supérieure à 30'000 fr. S'agissant d'une décision finale (ATF 134 III 426 consid. 2.2), le présent arrêt est susceptible d'un recours en matière civile au Tribunal fédéral (art. 72 al. 1 LTF), avec limitation des moyens de recours selon l'art. 98 LTF. * * * * *</w:t>
      </w:r>
    </w:p>
    <w:p>
      <w:r>
        <w:t>- 11/12 -</w:t>
      </w:r>
    </w:p>
    <w:p>
      <w:r>
        <w:t>C/29405/2008 PAR CES MOTIFS, La Chambre civile : A la forme : Déclare recevable l'appel interjeté par A.______ contre l'ordonnance OTPI/312/2012 rendu le 20 mars 2012 par le Tribunal de première instance dans la cause C/29405/2008-18, uniquement en tant que le dispositif de cette ordonnance déboute les parties de toutes autres conclusions. Au fond : Confirme ladite ordonnance en tant que son dispositif déboute les parties de toutes autres conclusions. Déboute les parties de toutes autres conclusions. Sur les frais d'appel : Arrête les frais judiciaires d'appel à 7'500 fr. Les met à la charge d'A.______ et dit qu'ils sont compensés à due concurrence avec l'avance de frais de 9'800 fr. fournie par celle-ci, avance qui reste acquise à l'Etat de Genève à concurrence de 7'500 fr. Condamne l'ETAT DE GENEVE, soit pour lui les Services financiers du pouvoir judiciaire, à rembourser à A.______ le surplus d'avance de 2'300 fr. Compense les dépens d'appel.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- 12/12 -</w:t>
      </w:r>
    </w:p>
    <w:p>
      <w:r>
        <w:t>C/29405/2008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griefs pouvant être invoqués étant toutefois limités (art.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