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ACJC/117/2015 vom 6. Februar 2015</w:t>
      </w:r>
    </w:p>
    <w:p>
      <w:r>
        <w:t>GE Cour de justice, 2015-02-06, FR</w:t>
      </w:r>
    </w:p>
    <w:p>
      <w:r>
        <w:rPr>
          <w:b/>
        </w:rPr>
        <w:t xml:space="preserve">Quelle: </w:t>
      </w:r>
      <w:r>
        <w:t>https://mcp.opencaselaw.ch/entscheid/ge_gerichte_ACJC_117_2015</w:t>
      </w:r>
    </w:p>
    <w:p>
      <w:r>
        <w:t>FR: GE_GERICHTE ACJC/117/2015 du 6 février 2015</w:t>
      </w:r>
    </w:p>
    <w:p>
      <w:r>
        <w:t>IT: GE_GERICHTE ACJC/117/2015 del 6 febbraio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Les conclusions, les allégations de fait et les preuves nouvelles sont irrecevables (art. 326 al. 1 CPC). Il s'ensuit que les allégués de fait nouveaux et les pièces nouvelles produites par le recourant devant la Cour sont irrecevables, de sorte qu'il n'en sera pas tenu compte.</w:t>
      </w:r>
    </w:p>
    <w:p>
      <w:r>
        <w:rPr>
          <w:b/>
        </w:rPr>
        <w:t>E. 1.3</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2.1</w:t>
      </w:r>
    </w:p>
    <w:p>
      <w:r>
        <w:t>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Des factures ne valent pas reconnaissances de dette (PANCHAUD/CAPREZ, La mainlevée d'opposition, 2ème éd., 1980, § 3 ch. 3), et ce même si elles n'ont pas été contestées (arrêt du Tribunal fédéral 5P.290/2006 du 12 octobre 2006 consid. 3.3). La procédure de mainlevée est un incident de la poursuite; il s'agit d'une procédure sur pièces qui n'a pas pour objet de statuer sur la réalité de la prétention en poursuite (ATF 136 III 583 consid. 2.3 p. 586 s.; 133 III 645 consid. 5.3</w:t>
      </w:r>
    </w:p>
    <w:p>
      <w:r>
        <w:t>- 4/5 -</w:t>
      </w:r>
    </w:p>
    <w:p>
      <w:r>
        <w:t>C/11272/2014 p. 653 s.; 133 III 399 consid. 1.5 p. 400). Le juge de la mainlevée examine uniquement la force exécutoire du titre produit par le poursuivant, sa nature formelle, et non pas la validité de la prétention déduite en poursuite (ATF 139 III 444 consid. 4.1.1 p. 446; 132 III 140 consid. 4.1.1 p. 142).</w:t>
      </w:r>
    </w:p>
    <w:p>
      <w:r>
        <w:rPr>
          <w:b/>
        </w:rPr>
        <w:t>E. 2.2</w:t>
      </w:r>
    </w:p>
    <w:p>
      <w:r>
        <w:t>En l'espèce, le recourant n'a produit, devant le premier juge, que des notes d'honoraires émises par lui et des courriers d'une société tierce réclamant des versements à l'intimée. De tels documents ne constituent pas des reconnaissances de dette au sens de l'art. 82 al. 1 LP, dès lors qu'ils ne comportent aucune acceptation écrite et signée de l'intimée du montant réclamé en poursuite. C'est donc à bon droit que le Tribunal a considéré que les pièces déposées ne constituaient pas des titres de mainlevée provisoire. Le recours sera dès lors rejeté. Il est cependant rappelé au recourant que la procédure de mainlevée n'a pas pour objet de statuer sur la réalité de la prétention et qu'il peut agir par la voie d'une demande en paiement pour recouvrer sa créance alléguée, s'il s'y estime fondé.</w:t>
      </w:r>
    </w:p>
    <w:p>
      <w:r>
        <w:rPr>
          <w:b/>
        </w:rPr>
        <w:t>E. 3</w:t>
      </w:r>
    </w:p>
    <w:p>
      <w:r>
        <w:t>Le recourant, qui succombe, sera condamné aux frais du recours (art. 106 al. 1 CPC), arrêtés à 450 fr. (art. 48 et 61 al. 1 OELP), lesquels seront compensés avec l'avance de frais du même montant, laquelle reste acquise à l'Etat (art. 111 al. 1 CPC).</w:t>
      </w:r>
    </w:p>
    <w:p>
      <w:r>
        <w:t>Il n'y a pas lieu d'allouer de dépens à l'intimée qui n'a pas répondu au recours. * * * * *</w:t>
      </w:r>
    </w:p>
    <w:p>
      <w:r>
        <w:t>- 5/5 -</w:t>
      </w:r>
    </w:p>
    <w:p>
      <w:r>
        <w:t>C/11272/2014 PAR CES MOTIFS, La Chambre civile : A la forme : Déclare recevable le recours interjeté par B______, A______ contre le jugement JTPI/12355/2014 rendu le 3 octobre 2014 par le Tribunal de première instance dans la cause C/11272/2014-5 SML. Au fond : Rejette ce recours. Déboute les parties de toutes autres conclusions. Sur les frais : Arrête les frais judiciaires du recours à 450 fr., les met à la charge de B______ et les compense avec l'avance de frais du même montant fournie, qui reste acquise à l'Etat. Dit qu'il n'est pas alloué de dépens.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