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ACJC/1179/2023 vom 14. September 2023</w:t>
      </w:r>
    </w:p>
    <w:p>
      <w:r>
        <w:t>GE Cour de justice, 2023-09-14, FR</w:t>
      </w:r>
    </w:p>
    <w:p>
      <w:r>
        <w:rPr>
          <w:b/>
        </w:rPr>
        <w:t xml:space="preserve">Quelle: </w:t>
      </w:r>
      <w:r>
        <w:t>https://mcp.opencaselaw.ch/entscheid/ge_gerichte_ACJC_1179_2023</w:t>
      </w:r>
    </w:p>
    <w:p>
      <w:r>
        <w:t>FR: GE_GERICHTE ACJC/1179/2023 du 14 septembre 2023</w:t>
      </w:r>
    </w:p>
    <w:p>
      <w:r>
        <w:t>IT: GE_GERICHTE ACJC/1179/2023 del 14 settembre 2023</w:t>
      </w:r>
    </w:p>
    <w:p>
      <w:pPr>
        <w:pStyle w:val="Heading2"/>
      </w:pPr>
      <w:r>
        <w:t>Erwägungen</w:t>
      </w:r>
    </w:p>
    <w:p>
      <w:r>
        <w:rPr>
          <w:b/>
        </w:rPr>
        <w:t>E. 1.1</w:t>
      </w:r>
    </w:p>
    <w:p>
      <w:r>
        <w:t>L'article 99 al. 1 CPC prévoit que le demandeur doit, sur requête du défendeur et pour autant que l'une ou l'autre des conditions énumérées sous lettres a à d soient remplies, fournir des sûretés en garantie du paiement des dépens.</w:t>
      </w:r>
    </w:p>
    <w:p>
      <w:r>
        <w:t>- 4/8 -</w:t>
      </w:r>
    </w:p>
    <w:p>
      <w:r>
        <w:t>C/9317/2020</w:t>
      </w:r>
    </w:p>
    <w:p>
      <w:r>
        <w:t>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2010, Schweizerische Zivilprozessordnung, SPÜHLER/TENCIO/INFANGER (éd.), 2017, n° 5 ad art. 99 CPC; STERCHI, in Berner Kommentar ZPO, Kommentar zum schweizerischen Privatrecht, 2012, n° 10 ad art. 99 LPC).</w:t>
      </w:r>
    </w:p>
    <w:p>
      <w:r>
        <w:rPr>
          <w:b/>
        </w:rPr>
        <w:t>E. 1.2</w:t>
      </w:r>
    </w:p>
    <w:p>
      <w:r>
        <w:t>En l’espèce, la requérante a formé sa demande de sûretés avant de rédiger son mémoire de réponse à l’appel, quand bien même, en raison des échanges d’écritures, cette question n’est finalement tranchée que postérieurement au dépôt de ladite écriture de réponse. Il n’en demeure pas moins que la requête a été formée en temps utile.</w:t>
      </w:r>
    </w:p>
    <w:p>
      <w:r>
        <w:rPr>
          <w:b/>
        </w:rPr>
        <w:t>E. 2</w:t>
      </w:r>
    </w:p>
    <w:p>
      <w:r>
        <w:t>2.1.1 Selon l'art. 99 al. 1 CPC, le demandeur doit, sur requête du défendeur, fournir des sûretés en garantie du paiement des dépens notamment lorsqu'il n'a pas de domicile ou de siège en Suisse (art. 99 al. 1 let. a CPC). Certaines conventions internationales ou accords bilatéraux peuvent toutefois exclure le paiement de telles sûretés (art. 2 CPC).</w:t>
      </w:r>
    </w:p>
    <w:p>
      <w:r>
        <w:t>L'institution des sûretés, connue antérieurement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op. cit. n. 3 ad art. 99 CPC; SUTER/VON HOLZEN, in Kommentar zur Schweizerischen Zivilprozessordnung [ZPO], SUTTER-SOMM/ HASENBÖHLER/LEUENBEGER [éd.], 2ème éd., 2013, n. 2 ad art. 99 CPC).</w:t>
      </w:r>
    </w:p>
    <w:p>
      <w:r>
        <w:t>2.1.2 La procédure sommaire est applicable. Le juge se fondera essentiellement sur les allégations et preuves des parties. S'agissant d'une question de recevabilité (art. 59 al. 2 let. f), le juge pourra cependant établir les faits d'office (TAPPY, op. cit. n. 13 et 15 ad art. 101 CPC).</w:t>
      </w:r>
    </w:p>
    <w:p>
      <w:r>
        <w:t>2.2.2 En l’espèce, il n’est pas contesté que le cité est domicilié à C______, dans les Emirats arabes unis. Aucune convention qui le dispenserait de fournir des sûretés en garantie des dépens ne lie la Suisse aux Emirats arabes unis. Il en découle que le principe du versement de sûretés est acquis.</w:t>
      </w:r>
    </w:p>
    <w:p>
      <w:r>
        <w:t>Le cité a certes allégué que la requérante était au bénéfice d’un séquestre portant sur des avoirs déposés auprès de la banque D______, lequel excède la créance qu’elle invoque, en capital et intérêts. Il ressort toutefois de la procédure que ledit séquestre est fondé sur la créance au fond que la requérante invoque à l’encontre</w:t>
      </w:r>
    </w:p>
    <w:p>
      <w:r>
        <w:t>- 5/8 -</w:t>
      </w:r>
    </w:p>
    <w:p>
      <w:r>
        <w:t>C/9317/2020 du cité, les éventuels dépens qui pourraient lui être alloués à l’issue de la procédure d’appel n’ayant pas été pris en considération. L’existence de ce séquestre ne prive par conséquent pas la requérante du droit de solliciter, sur la base de l’art. 99 CPC, le versement de sûretés en garantie de ses éventuels dépens. La requérante sera ainsi assurée, en cas de gain du procès, que les dépens dus lui seront rapidement versés, sans avoir besoin de notifier la moindre poursuite au cité, ce qui correspond au but visé par l’art. 99 CPC.</w:t>
      </w:r>
    </w:p>
    <w:p>
      <w:r>
        <w:t>Il reste à déterminer le montant desdites sûretés.</w:t>
      </w:r>
    </w:p>
    <w:p>
      <w:r>
        <w:rPr>
          <w:b/>
        </w:rPr>
        <w:t>E. 3</w:t>
      </w:r>
    </w:p>
    <w:p>
      <w:r>
        <w:t>3.1.1 Les sûretés doivent couvrir en principe les dépens présumés que les appelants auraient à verser aux intimés en cas de perte totale du procès (TAPPY, op. cit., n. 7 ad art. 100 CPC; 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w:t>
      </w:r>
    </w:p>
    <w:p>
      <w:r>
        <w:t>Les débours nécessaires sont estimés, sauf éléments contraires, à 3% du défraiement et s’ajoutent à celui-ci (art. 25 LaCC).</w:t>
      </w:r>
    </w:p>
    <w:p>
      <w:r>
        <w:t>La juridiction fixe les dépens d’après le dossier en chiffres ronds incluant la taxe sur la valeur ajoutée (art. 26 al. 1 CaCC).</w:t>
      </w:r>
    </w:p>
    <w:p>
      <w:r>
        <w:t>Le tarif des frais, qui comprend celui des dépens, est fixé par les cantons (art. 95 al. 1 et 96 CPC).</w:t>
      </w:r>
    </w:p>
    <w:p>
      <w:r>
        <w:t>Selon le règlement fixant le tarif des frais en matière civile du canton de Genève entré en vigueur le 1er janvier 2011, le défraiement d'un représentant professionnel est, en règle générale, proportionnel à la valeur litigieuse, laquelle est déterminée par les conclusions (art. 91 al. 1 CPC). Sans effet sur les rapports contractuels entre l'avocat et son client, il est fixé d'après l'importance de la cause, ses difficultés, l'ampleur du travail et le temps employé (art. 84 RTFMC; art. 20 al. 1 LaCC).</w:t>
      </w:r>
    </w:p>
    <w:p>
      <w:r>
        <w:t>L'art. 23 LaCC permet toutefois de fixer un défraiement inférieur ou supérieur aux taux minima et maxima prévus, lorsqu'il existe une disproportion manifeste entre la valeur litigieuse et l'intérêt des parties au procès ou entre le taux applicable et le travail effectif de l'avocat.</w:t>
      </w:r>
    </w:p>
    <w:p>
      <w:r>
        <w:t>3.1.2 Pour une valeur litigieuse au-delà de 600'000 fr. et jusqu’à 1'000'000 fr., l’art. 85 RTFMC prévoit des dépens à hauteur de 25'400 fr. plus 1,5% de la valeur litigieuse dépassant 600'000 fr.</w:t>
      </w:r>
    </w:p>
    <w:p>
      <w:r>
        <w:t>- 6/8 -</w:t>
      </w:r>
    </w:p>
    <w:p>
      <w:r>
        <w:t>C/9317/2020</w:t>
      </w:r>
    </w:p>
    <w:p>
      <w:r>
        <w:t>Le défraiement est réduit dans la règle d’un à deux tiers par rapport au tarif de l’article 85 dans les procédures d’appel et de recours (art. 90 RTFMC).</w:t>
      </w:r>
    </w:p>
    <w:p>
      <w:r>
        <w:rPr>
          <w:b/>
        </w:rPr>
        <w:t>E. 3.2</w:t>
      </w:r>
    </w:p>
    <w:p>
      <w:r>
        <w:t>En l'espèce, la valeur litigieuse s'élève à 976'016.09 USD, dans la mesure où le cité a conclu à l’annulation du jugement attaqué, lequel l’a condamné à payer la somme de 926'016.09 USD à sa partie adverse et qu’il conclut en outre, reconventionnellement, à la condamnation de la requérante à lui verser 50'000 USD. Au jour du dépôt de l’acte d’appel, cette somme correspondait à un montant de 892'371 fr. (1 USD = 0.9143 fr., cours moyen en mai 2023).</w:t>
      </w:r>
    </w:p>
    <w:p>
      <w:r>
        <w:t>En application des art. 85 et 90 RTFMC, le défraiement auquel la requérante pourrait prétendre en cas de gain du procès serait compris, en chiffres ronds, sans prendre en compte les critères prévus à l'art. 23 LaCC, entre 10'990 fr. et 21'981 fr., débours et TVA compris (art. 25 et 26 LaCC; 25'400 fr. + [1,5% de 292'371 fr. = 4'385 fr. ], soit 29'785 fr., montant réduit d’un à deux tiers, + 3% de débours et 7,7% de TVA).</w:t>
      </w:r>
    </w:p>
    <w:p>
      <w:r>
        <w:t>La procédure porte sur des questions relatives à un litige bancaire, qui ne saurait être qualifié de simple, sans être toutefois d’une grande complexité, étant relevé que le mémoire d’appel comprend 23 pages. A priori, les dépens se situeront plutôt dans le haut de la fourchette, sans toutefois justifier l’application de l’art. 23 LaCC.</w:t>
      </w:r>
    </w:p>
    <w:p>
      <w:r>
        <w:t>Dès lors et au vu de ce qui précède, les sûretés seront fixées, en chiffre rond, à 20'000 fr.</w:t>
      </w:r>
    </w:p>
    <w:p>
      <w:r>
        <w:rPr>
          <w:b/>
        </w:rPr>
        <w:t>E. 4</w:t>
      </w:r>
    </w:p>
    <w:p>
      <w:r>
        <w:t>Les sûretés ainsi fixées devront être fournies par le cité en espèces, auprès des Services financiers de l'Etat de Genève, ou sous forme de garantie d'une banque établie en Suisse ou d'une société d'assurance autorisée à exercer en Suisse (art. 100 al. 1 CPC) et ce dans un délai de 30 jours dès notification du présent arrêt. A défaut et à l’échéance d’un délai supplémentaire, l’appel ne sera pas pris en considération (art. 101 al. 3 CPC).</w:t>
      </w:r>
    </w:p>
    <w:p>
      <w:r>
        <w:rPr>
          <w:b/>
        </w:rPr>
        <w:t>E. 5</w:t>
      </w:r>
    </w:p>
    <w:p>
      <w:r>
        <w:t>Les frais judiciaires de la procédure de sûretés seront arrêtés à 600 fr., compensés avec l'avance de frais de même montant versée par la requérante, qui demeure acquise à l'Etat de Genève (art. 111 al. 1 CPC). Ils seront mis à la charge du cité, qui succombe pour l’essentiel et qui sera condamné à les verser à la requérante.</w:t>
      </w:r>
    </w:p>
    <w:p>
      <w:r>
        <w:t>Le cité sera en outre condamné à verser à la requérante la somme de 1'000 fr. à titre de dépens. * * * * *</w:t>
      </w:r>
    </w:p>
    <w:p>
      <w:r>
        <w:t>- 7/8 -</w:t>
      </w:r>
    </w:p>
    <w:p>
      <w:r>
        <w:t>C/9317/2020 PAR CES MOTIFS, La Chambre civile : A la forme : Déclare recevable la requête en constitution de sûretés formée le 10 juillet 2023 par A______ dans la cause C/9317/2020. Au fond : Condamne B______ à fournir des sûretés en garantie des dépens d'appel de A______ à hauteur de 20’000 fr., en espèces auprès des Services financiers du Pouvoir judiciaire ou sous forme de garantie d'une banque établie en Suisse ou d'une société d'assurance autorisée à exercer en Suisse et ce dans un délai de 30 jours dès notification du présent arrêt. Dit que si les sûretés ne sont pas fournies à l’échéance d’un délai supplémentaire, il ne sera pas entré en matière sur l’appel. Déboute les parties de toutes autres conclusions. Sur les frais : Arrête les frais judiciaires de la présente décision à 600 fr. et les compense avec l'avance versée par A______, qui reste acquise à l'Etat de Genève. Les met à la charge de B______ et le condamne à verser la somme de 600 fr. à A______. Condamne par ailleurs B______ à verser à A______ la somme de 1'000 fr. à titre de dépens. Siégeant : Madame Paola CAMPOMAGNANI, présidente; Monsieur Laurent RIEBEN et Madame Ursula ZEHETBAUER GHAVAMI, juges; Madame Jessica ATHMOUNI, greffière.</w:t>
      </w:r>
    </w:p>
    <w:p>
      <w:r>
        <w:t>- 8/8 -</w:t>
      </w:r>
    </w:p>
    <w:p>
      <w:r>
        <w:t>C/9317/2020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