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ACJC/1179/2018 vom 8. August 2018</w:t>
      </w:r>
    </w:p>
    <w:p>
      <w:r>
        <w:t>GE Cour de justice, 2018-08-08, FR</w:t>
      </w:r>
    </w:p>
    <w:p>
      <w:r>
        <w:rPr>
          <w:b/>
        </w:rPr>
        <w:t xml:space="preserve">Quelle: </w:t>
      </w:r>
      <w:r>
        <w:t>https://mcp.opencaselaw.ch/entscheid/ge_gerichte_ACJC_1179_2018</w:t>
      </w:r>
    </w:p>
    <w:p>
      <w:r>
        <w:t>FR: GE_GERICHTE ACJC/1179/2018 du 8 août 2018</w:t>
      </w:r>
    </w:p>
    <w:p>
      <w:r>
        <w:t>IT: GE_GERICHTE ACJC/1179/2018 del 8 agosto 2018</w:t>
      </w:r>
    </w:p>
    <w:p>
      <w:pPr>
        <w:pStyle w:val="Heading2"/>
      </w:pPr>
      <w:r>
        <w:t>Volltext</w:t>
      </w:r>
    </w:p>
    <w:p>
      <w:r>
        <w:t>Le présent arrêt est communiqué aux parties par plis recommandés du 05.09.2018.</w:t>
      </w:r>
    </w:p>
    <w:p>
      <w:r>
        <w:t>REPUBLIQUE ET</w:t>
      </w:r>
    </w:p>
    <w:p>
      <w:r>
        <w:t>CANTON DE GENEVE POUVOIR JUDICIAIRE C/27702/2015 ACJC/1179/2018 ARRÊT DE LA COUR DE JUSTICE Chambre civile DU LUNDI 3 SEPTEMBRE 2018</w:t>
      </w:r>
    </w:p>
    <w:p>
      <w:r>
        <w:t>Entre A______ SA, sise ______, recourante contre une ordonnance rendue par la 9ème Chambre du Tribunal de première instance de ce canton le 8 août 2018, comparant par Me Julien Liechti, avocat, rue de la Coulouvrenière 29, case postale 5710, 1211 Genève 11, en l'étude duquel elle fait élection de domicile, et B______, sise ______, intimée, comparant par Me Pietro Rigamonti, avocat, place de la Taconnerie 3-5, 1204 Genève, en l'étude duquel elle fait élection de domicile.</w:t>
      </w:r>
    </w:p>
    <w:p>
      <w:r>
        <w:t>- 2/3 -</w:t>
      </w:r>
    </w:p>
    <w:p>
      <w:r>
        <w:t>C/27702/2015 Attendu, EN FAIT, que par ordonnance du 8 août 2018, le Tribunal de première instance a rejeté la requête en fourniture de sûretés formée le 12 mai 2018 par A______ SA (ch. 1 du dispositif), mis à sa charge les frais judicaires, arrêtés à 500 fr. (ch. 2 et 3) et l'a condamnée à payer la somme de 1'300 fr. à B______ à titre de dépens (ch. 4 et 5). Le Tribunal a par ailleurs imparti à A______ SA un délai de 30 jours dès notification de cette ordonnance pour déposer sa réponse écrite (ch. 6), limitée à la question de la compétence à raison de la matière (ch. 7); Que par acte expédié au greffe de la Cour le 17 août 2018, A______ SA a formé recours contre cette ordonnance, concluant à son annulation et à ce qu'il soit dit que B______ fournirait des sûretés en garantie des dépens de 18'000 fr. dans un délai de vingt jours; Qu'elle a préalablement conclu à la restitution de l'effet suspensif à son recours; qu'elle a expliqué à cet égard que si l'effet suspensif n'était pas restitué, le délai de réponse fixé par le Tribunal arriverait vraisemblablement à échéance avant le prononcé de la décision de la Cour, rendant probablement la requête en fourniture de sûretés sans objet; Qu'invitée à se déterminer, B______ a conclu au rejet de la requête d'effet suspensif; Considérant, EN DROIT,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question de l'effet suspensif ne se pose pas en cas de recours contre une décision refusant d'ordonner la mesure requise, cette décision ne déployant aucun effet susceptible d'être suspendu (STUCKI/PAHUD, Le régime des décisions superprovisionnelles et provisionnelles du code de procédure civile, in SJ 2015 II 1, p. 24); Qu'en l'espèce, le Tribunal a rejeté la requête de fourniture de sûretés formée par la recourante; que la décision ne déploie dès lors aucun effet qui pourrait être suspendu; que la recourante ne peut obtenir, par l'octroi de l'effet suspensif, la fourniture des sûretés requises; Que la requête d'effet suspensif formée par la recourante sera dès lors rejetée; Qu'il sera statué sur les frais et dépens liés à la présente décision avec la décision au fond (art. 104 al. 3 CPC). * * * * *</w:t>
      </w:r>
    </w:p>
    <w:p>
      <w:r>
        <w:t>- 3/3 -</w:t>
      </w:r>
    </w:p>
    <w:p>
      <w:r>
        <w:t>C/27702/2015 PAR CES MOTIFS, La Chambre civile : Statuant sur requête de suspension du caractère exécutoire de l'ordonnance entreprise : Rejette la requête formée par A______ SA tendant à suspendre le caractère exécutoire de l'ordonnance rendue le 8 août 2018 par le Tribunal de première instance dans la cause C/27702/2015.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