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ACJC/1176/2023 vom 2. Februar 2023</w:t>
      </w:r>
    </w:p>
    <w:p>
      <w:r>
        <w:t>GE Cour de justice, 2023-02-02, FR</w:t>
      </w:r>
    </w:p>
    <w:p>
      <w:r>
        <w:rPr>
          <w:b/>
        </w:rPr>
        <w:t xml:space="preserve">Quelle: </w:t>
      </w:r>
      <w:r>
        <w:t>https://mcp.opencaselaw.ch/entscheid/ge_gerichte_ACJC_1176_2023</w:t>
      </w:r>
    </w:p>
    <w:p>
      <w:r>
        <w:t>FR: GE_GERICHTE ACJC/1176/2023 du 2 février 2023</w:t>
      </w:r>
    </w:p>
    <w:p>
      <w:r>
        <w:t>IT: GE_GERICHTE ACJC/1176/2023 del 2 febbraio 2023</w:t>
      </w:r>
    </w:p>
    <w:p>
      <w:pPr>
        <w:pStyle w:val="Heading2"/>
      </w:pPr>
      <w:r>
        <w:t>Erwägungen</w:t>
      </w:r>
    </w:p>
    <w:p>
      <w:r>
        <w:rPr>
          <w:b/>
        </w:rPr>
        <w:t>E. 1.1</w:t>
      </w:r>
    </w:p>
    <w:p>
      <w:r>
        <w:t>La décision attaquée est une décision finale de première instance. Contre une telle décision, la voie de l'appel est ouverte si l'affaire n'est pas de nature patrimoniale ou si, étant de nature patrimoniale, la valeur litigieuse au dernier état des conclusions est de 10'000 fr. au moins (art. 308 al. 1 let. a et al. 2 CPC). Au vu des conclusions prises (art. 92 al.1 et 2 CPC), la valeur litigieuse prévue par la loi est atteinte de sorte que la voie de l'appel est ouverte.</w:t>
      </w:r>
    </w:p>
    <w:p>
      <w:r>
        <w:rPr>
          <w:b/>
        </w:rPr>
        <w:t>E. 1.2</w:t>
      </w:r>
    </w:p>
    <w:p>
      <w:r>
        <w:t>Interjeté dans le délai de 30 jours suivant la notification du jugement querellé et selon la forme prescrite par la loi (art. 130, 131, 142, 311 al. 1 et 2 CPC), l'appel est recevable.</w:t>
      </w:r>
    </w:p>
    <w:p>
      <w:r>
        <w:rPr>
          <w:b/>
        </w:rPr>
        <w:t>E. 1.3</w:t>
      </w:r>
    </w:p>
    <w:p>
      <w:r>
        <w:t>La Cour revoit la cause avec plein pouvoir d'examen (art. 310 CPC). Les faits sont établis d'office (art. 277 al. 3 CPC).</w:t>
      </w:r>
    </w:p>
    <w:p>
      <w:r>
        <w:rPr>
          <w:b/>
        </w:rPr>
        <w:t>E. 1.4</w:t>
      </w:r>
    </w:p>
    <w:p>
      <w:r>
        <w:t>Aucune des parties ne remet en question, à juste titre, la compétence des autorités genevoises.</w:t>
      </w:r>
    </w:p>
    <w:p>
      <w:r>
        <w:rPr>
          <w:b/>
        </w:rPr>
        <w:t>E. 2</w:t>
      </w:r>
    </w:p>
    <w:p>
      <w:r>
        <w:t>L'appelante conclut à l'annulation du jugement du Tribunal en tant qu'il a considéré que l'intimé ne lui devait aucune contribution d'entretien postérieure au divorce et à ce qu'une telle contribution lui soit allouée à hauteur de 2'500 fr. par mois. Elle considère que le Tribunal a retenu à tort que le mariage n'avait pas eu un effet déterminant sur sa capacité de gain et lui avait à tort imputé un revenu hypothétique.</w:t>
      </w:r>
    </w:p>
    <w:p>
      <w:r>
        <w:rPr>
          <w:b/>
        </w:rPr>
        <w:t>E. 2.1</w:t>
      </w:r>
    </w:p>
    <w:p>
      <w:r>
        <w:t>Dans le cadre d'une procédure de divorce, aux termes l'article 125 al. 1 CC, si l'on ne peut raisonnablement attendre d'un époux qu'il pourvoie lui-même à son entretien convenable, y compris à la constitution d'une prévoyance vieillesse appropriée, son conjoint lui doit une contribution équitable. L'alinéa 2 de cette disposition stipule que pour décider si une contribution d'entretien est allouée et pour en fixer, le cas échéant, le montant et la durée, le juge retient notamment la répartition des tâches pendant le mariage, la durée du mariage, le niveau de vie des époux pendant le mariage, l'âge et l'état de santé des époux, les revenus et la fortune des époux, la formation professionnelle et les perspectives de gain des époux, ainsi que les expectatives de l'assurance-vieillesse et survivants et de la prévoyance professionnelle.</w:t>
      </w:r>
    </w:p>
    <w:p>
      <w:r>
        <w:t>- 7/10 -</w:t>
      </w:r>
    </w:p>
    <w:p>
      <w:r>
        <w:t>C/3546/2022 L'article 125 al. 1 CC concrétise deux principes : d'une part, celui de l'indépendance économique des époux après le divorce ("clean break"),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 4.1.).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Dans cette hypothèse, on admet en effet que la confiance placée par l'époux créancier dans la continuité du mariage et dans le maintien de la répartition des rôles, convenue librement par les conjoints, mérite objectivement d'être protégée. Un mariage peut notamment avoir une influence concrète s'il a duré au moins dix ans ou, indépendamment de sa durée, si les conjoints ont des enfants communs. A l'inverse, s'il a duré moins de cinq ans, on présume qu'une telle influence n'a pas eu lieu. Pour les mariages entre cinq et dix ans, il n'existe aucune présomption; il faut alors examiner, de cas en cas, si les circonstances de fait ont marqué de manière durable, ou non, les conditions de vie des conjoints (ATF 141 III 465 c. 3.1; arrêt du Tribunal fédéral 5A_93/2019 c. 3.1). En l'absence d'une influence concrète sur les conditions de vie des époux, il convient en revanche de s'en tenir à la situation qui prévalait avant le mariage. Le conjoint qui a renoncé à son activité lucrative pendant celui-ci doit simplement être replacé dans la situation qui serait la sienne si le mariage n'avait pas été conclu; en d'autres termes, il faut examiner quelle situation économique aurait cet époux au moment du divorce s'il ne s'était pas marié. Le conjoint concerné a en quelque sorte droit à la réparation du préjudice causé par le mariage (ATF 135 III 59, c. 4.4). Le principe de l'indépendance prime le droit à l'entretien post-divorce. Il en découle pour l'époux un devoir de se réintégrer sur le marché du travail ou d'étendre son activité lucrative déjà existante. Un époux ne peut ainsi prétendre à une contribution d'entretien que si, en dépit des efforts que l'on peut raisonnablement exiger de lui, il n'est pas ou pas totalement en mesure de pourvoir lui-même à son entretien convenable (ATF 147 III 308 c.5.2).</w:t>
      </w:r>
    </w:p>
    <w:p>
      <w:r>
        <w:rPr>
          <w:b/>
        </w:rPr>
        <w:t>E. 2.2</w:t>
      </w:r>
    </w:p>
    <w:p>
      <w:r>
        <w:t>En l'espèce, on ne discerne pas en quoi le Tribunal aurait violé la loi en retenant que le mariage des parties n'avait pas eu un effet "lebensprägend" sur la</w:t>
      </w:r>
    </w:p>
    <w:p>
      <w:r>
        <w:t>- 8/10 -</w:t>
      </w:r>
    </w:p>
    <w:p>
      <w:r>
        <w:t>C/3546/2022 situation de l'appelante. Tout d'abord, l'on ignore à peu près tout de la situation professionnelle et financière de l'appelante avant le mariage qui a eu lieu alors qu'elle était âgée de près de 50 ans. Cela étant, il ressort de la procédure qu'elle exerçait la profession de vendeuse et avait une fille mineure à charge pour laquelle elle percevait des contributions d'entretien. Par ailleurs, le mariage a duré 6 ans de sorte que la présomption, rappelée ci-dessus, qu'il aurait affecté la capacité économique de l'appelante de manière concrète ne s'applique pas. Comme relevé en outre, les parties n'ont pas eu d'enfants communs dont l'épouse aurait dû s'occuper en renonçant à une activité professionnelle par ailleurs. Enfin, elle avait aidé son époux dans l'activité d'hébergement exercée au Brésil par le couple, de sorte qu'elle n'était pas restée inactive et avait acquis une expérience professionnelle dans ce domaine. Par conséquent c'est à juste titre que le Tribunal a considéré que le mariage n'avait pas affecté la capacité de gain de l'appelante. L'appel pourrait dès lors être rejeté à ce stade déjà.</w:t>
      </w:r>
    </w:p>
    <w:p>
      <w:r>
        <w:rPr>
          <w:b/>
        </w:rPr>
        <w:t>E. 2.3</w:t>
      </w:r>
    </w:p>
    <w:p>
      <w:r>
        <w:t>L'appelante reproche cependant encore au Tribunal d'avoir retenu qu'alors qu'elle avait fait le choix de quitter son pays d'origine pour revenir se domicilier en Suisse, elle n'avait pas fait tous les efforts nécessaires pour se réinsérer sur le marché du travail et d'avoir retenu que si elle avait fait, respectivement faisait, les efforts en question elle pouvait réaliser un revenu lui permettant de couvrir ses charges.</w:t>
      </w:r>
    </w:p>
    <w:p>
      <w:r>
        <w:rPr>
          <w:b/>
        </w:rPr>
        <w:t>E. 2.4</w:t>
      </w:r>
    </w:p>
    <w:p>
      <w:r>
        <w:t>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 4.2.2.2). Pour arrêter le montant du salaire, le juge peut éventuellement se baser sur l'enquête suisse sur la structure des salaires, réalisée par l'Office fédéral de la statistique, ou sur d'autres sources comme les conventions collectives de travail (ATF 137 III 118 c. 3.2).</w:t>
      </w:r>
    </w:p>
    <w:p>
      <w:r>
        <w:rPr>
          <w:b/>
        </w:rPr>
        <w:t>E. 2.5</w:t>
      </w:r>
    </w:p>
    <w:p>
      <w:r>
        <w:t>En l'espèce, on relèvera tout d'abord qu'alors qu'elle vivait en Suisse, séparée de son époux depuis 2020 et au bénéfice d'un jugement sur mesures protectrices de l'union conjugale dans le cadre duquel elle bénéficiait d'une contribution d'entretien de 2'500 fr. d'accord entre les parties, l'appelante n'a pas mis ces années</w:t>
      </w:r>
    </w:p>
    <w:p>
      <w:r>
        <w:t>- 9/10 -</w:t>
      </w:r>
    </w:p>
    <w:p>
      <w:r>
        <w:t>C/3546/2022 à profit pour tenter de retrouver son indépendance financière. Comme le Tribunal l'a rappelé, elle n'a effectué que des recherches tout à fait sporadiques et ce, même postérieurement à l'introduction de la procédure de divorce. C'est donc à juste titre que le Tribunal n'a pas retenu que son âge actuel constituerait un empêchement sur ce point et que, en l'absence de problème de santé, elle avait la capacité de réaliser un revenu dans le domaine de la vente ou de la restauration qui lui permettrait de couvrir ses charges. En effet, comme retenu à juste titre par lui, en faisant les efforts nécessaires pour exercer une activité à 100% au salaire minimum en vigueur à Genève (environ 3'500 fr. nets; cf. https://www.ge.ch/appliquer-salaire-minimum-genevois), dans l'un de ses domaines de compétences, elle couvrirait ses charges de l'ordre de 2'800 fr. Pour toutes ces raisons, l'appel doit être rejeté en totalité.</w:t>
      </w:r>
    </w:p>
    <w:p>
      <w:r>
        <w:rPr>
          <w:b/>
        </w:rPr>
        <w:t>E. 3</w:t>
      </w:r>
    </w:p>
    <w:p>
      <w:r>
        <w:t>Les frais de la procédure d'appel arrêtés à 1'000 fr. seront mis à la charge de l'appelante qui succombe entièrement (art. 106 al.1 CPC), et provisoirement supportés par l'Etat de Genève vu l'octroi de l'assistance judiciaire. Vu la nature de la cause, les dépens seront supportés par chacune des parties (art. 107 al.1 lit. c CPC) * * * * *</w:t>
      </w:r>
    </w:p>
    <w:p>
      <w:r>
        <w:t>- 10/10 -</w:t>
      </w:r>
    </w:p>
    <w:p>
      <w:r>
        <w:t>C/3546/2022 PAR CES MOTIFS, La Chambre civile : A la forme : Déclare recevable l'appel interjeté par A______ contre le jugement JTPI/1596/2023 rendu le 2 février 2023 par le Tribunal de première instance dans la cause C/3546/2022-</w:t>
      </w:r>
    </w:p>
    <w:p>
      <w:r>
        <w:rPr>
          <w:b/>
        </w:rPr>
        <w:t>E. 5</w:t>
      </w:r>
    </w:p>
    <w:p>
      <w:r>
        <w:t>Au fond : Confirme le jugement. Sur les frais : Fixe les frais judiciaires d'appel à 1'000 fr., les met à la charge de A______ et dit qu'ils sont provisoirement supportés par l'Etat de Genève. Dit que chaque partie supporte ses propres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