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ACJC/1172/2016 vom 23. Dezember 2015</w:t>
      </w:r>
    </w:p>
    <w:p>
      <w:r>
        <w:t>GE Cour de justice, 2015-12-23, FR</w:t>
      </w:r>
    </w:p>
    <w:p>
      <w:r>
        <w:rPr>
          <w:b/>
        </w:rPr>
        <w:t xml:space="preserve">Quelle: </w:t>
      </w:r>
      <w:r>
        <w:t>https://mcp.opencaselaw.ch/entscheid/ge_gerichte_ACJC_1172_2016</w:t>
      </w:r>
    </w:p>
    <w:p>
      <w:r>
        <w:t>FR: GE_GERICHTE ACJC/1172/2016 du 23 décembre 2015</w:t>
      </w:r>
    </w:p>
    <w:p>
      <w:r>
        <w:t>IT: GE_GERICHTE ACJC/1172/2016 del 23 dicembre 2015</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w:t>
      </w:r>
    </w:p>
    <w:p>
      <w:r>
        <w:t>Interjeté en temps utile, selon la forme prescrite par la loi, et portant sur une valeur litigieuse supérieure à 10'000 fr., l'appel est recevable à la forme.</w:t>
      </w:r>
    </w:p>
    <w:p>
      <w:r>
        <w:t>- 5/11 -</w:t>
      </w:r>
    </w:p>
    <w:p>
      <w:r>
        <w:t>C/11956/2014</w:t>
      </w:r>
    </w:p>
    <w:p>
      <w:r>
        <w:rPr>
          <w:b/>
        </w:rPr>
        <w:t>E. 1.2</w:t>
      </w:r>
    </w:p>
    <w:p>
      <w:r>
        <w:t>L'appel peut être formé pour violation du droit ou pour constatation inexacte des faits (art. 310 CPC). La Cour revoit la cause avec un plein pouvoir d'examen; elle statue dans les limites des conclusions prises en appel (art. 315 al. 1 CPC).</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les pièces nouvelles produites par l'appelant datent de 2005 et 2006. Elles auraient pu être déposées devant le Tribunal, de sorte qu'elles sont irrecevables.</w:t>
      </w:r>
    </w:p>
    <w:p>
      <w:r>
        <w:rPr>
          <w:b/>
        </w:rPr>
        <w:t>E. 3</w:t>
      </w:r>
    </w:p>
    <w:p>
      <w:r>
        <w:t>Le Tribunal a écarté la pièce 4 produite par l'appelant au motif qu'il s'agissait d'un moyen de preuve illicite, à savoir un courrier de l'avocat de l'intimée datant de décembre 2011 relatif à des discussions transactionnelles et couvert par l'obligation de confidentialité. La manifestation de la vérité ne revêtait en l'espèce pas un caractère prépondérant au sens de l'art. 152 al. 2 CPC de sorte que ce courrier était irrecevable.</w:t>
      </w:r>
    </w:p>
    <w:p>
      <w:r>
        <w:t>L'appelant fait valoir que cette appréciation est erronée car sa partie adverse n'a pas requis l'irrecevabilité de cette pièce, contrairement à ce qu'elle a fait pour d'autres pièces, de sorte qu'elle a consenti à la production de ce document. En tout état de cause, ce courrier était d'un intérêt prépondérant pour la manifestation de la vérité.</w:t>
      </w:r>
    </w:p>
    <w:p>
      <w:r>
        <w:t>La question de la recevabilité du courrier en question peut rester ouverte, dans la mesure où cette pièce est dénuée de pertinence pour l'issue du litige. En effet, s'il résulte de ce document que la question du partage des avoirs LPP de l'appelant a été évoquée au début des négociations entre les parties en vue de la conclusion d'une convention de divorce, il n'en ressort pas que l'intimée entendait renoncer au partage desdits avoirs.</w:t>
      </w:r>
    </w:p>
    <w:p>
      <w:r>
        <w:rPr>
          <w:b/>
        </w:rPr>
        <w:t>E. 4</w:t>
      </w:r>
    </w:p>
    <w:p>
      <w:r>
        <w:t>Le Tribunal a considéré que l'on ne pouvait pas déduire de la seule renonciation de l'intimée à la prestation compensatoire de droit français que celle-ci avait renoncé au partage de l'avoir LPP de son époux. Aucun autre élément du dossier ne permettait de retenir l'existence d'une telle renonciation, de sorte que le</w:t>
      </w:r>
    </w:p>
    <w:p>
      <w:r>
        <w:t>- 6/11 -</w:t>
      </w:r>
    </w:p>
    <w:p>
      <w:r>
        <w:t>C/11956/2014 jugement de divorce français du 1er juillet 2013, qui n'avait pas statué sur ce point devait être complété. Le droit suisse était applicable selon l'art. 61 LDIP. Aucun cas permettant de renoncer au partage des avoirs LPP n'était réalisé in casu et l'intimée n'abusait pas de son droit en demandant ce partage, de sorte que celui-ci devait être ordonné.</w:t>
      </w:r>
    </w:p>
    <w:p>
      <w:r>
        <w:t>L'appelant fait valoir qu'en renonçant à une prestation compensatoire dans le cadre du divorce prononcé en France, l'intimée a également renoncé au partage des avoirs de prévoyance de son époux, relevant qu'elle avait connaissance de l'existence des avoirs en question.</w:t>
      </w:r>
    </w:p>
    <w:p>
      <w:r>
        <w:rPr>
          <w:b/>
        </w:rPr>
        <w:t>E. 4.1</w:t>
      </w:r>
    </w:p>
    <w:p>
      <w:r>
        <w:t>Aux termes de l'art. 270 CCF, l'un des époux peut être tenu de verser à l'autre une prestation destinée à compenser, autant qu'il est possible, la disparité que la rupture du mariage crée dans les conditions de vie respectives. Cette prestation correspond autant à un dédommagement qu'à une indemnité d'entretien. La prestation compensatoire est fixée selon les besoins de l'époux qui y prétend et les ressources de l'autre, en tenant compte de la situation au moment du divorce et de l'évolution de celle-ci dans un avenir prévisible. La situation respective des parties en matière de pensions de retraite est ainsi prise en considération (art. 271 CCF). Il existe une différence de nature entre la prestation compensatoire du droit civil français et le partage des avoirs de prévoyance prévu par les art. 122 ss CC, institution que la législation française ne connaît pas comme telle. La comparaison entre ces deux institutions juridiques montre en effet des différences fondamentales en ce qui concerne le but politico-juridique, la justification de la prétention et l'aménagement de détail. Il s'ensuit que, dans la mesure où la prestation compensatoire n'a pas été fixée en tenant compte des avoirs de libre passage de l'époux débiteur, l'époux créancier doit pouvoir prétendre à l'une comme à l'autre: l'octroi d'une prestation compensatoire n'exclut pas le droit au partage des avoirs de prévoyance (arrêt du Tribunal fédéral 5A_835/2010 du 1er juin 2011 consid 2.4.3). Dans une affaire où le jugement de divorce français ne contenait aucune clause explicite quant aux avoirs accumulés auprès de l'institution suisse de prévoyance et où aucune prestation compensatoire avait été allouée, le Tribunal fédéral a admis que le jugement français devait être complété (ATF 131 III 289 consid 2.8 et 2.9).</w:t>
      </w:r>
    </w:p>
    <w:p>
      <w:r>
        <w:rPr>
          <w:b/>
        </w:rPr>
        <w:t>E. 4.2</w:t>
      </w:r>
    </w:p>
    <w:p>
      <w:r>
        <w:t>En l'espèce, ni la convention de divorce signée par les parties, ni le jugement de divorce ne mentionnent la question du partage des avoirs de prévoyance professionnelle des parties. Dans la mesure où le but, la justification et les modalités d'octroi de la prestation compensatoire de droit français ne sont pas les mêmes que ceux du partage des avoirs de prévoyance, l'on ne saurait déduire du seul fait que l'intimée a renoncé à</w:t>
      </w:r>
    </w:p>
    <w:p>
      <w:r>
        <w:t>- 7/11 -</w:t>
      </w:r>
    </w:p>
    <w:p>
      <w:r>
        <w:t>C/11956/2014 l'octroi d'une prestation compensatoire qu'elle a également renoncé au partage de la prestation de sortie de l'appelant. Le cas d'espèce est en effet similaire à celui mentionné plus haut de l'ATF 131 III 289 consid 2.8 et 2.9; à défaut d'autre élément, la renonciation à la prestation compensatoire n'implique pas en soi la renonciation au partage des avoirs de prévoyance professionnelle. Or, il n'existe pas in casu d'autre élément permettant de retenir que l'intimée a renoncé à ce partage. A cet égard, peu importe de savoir si l'intimée était ou non au courant de ses droits éventuels en relation avec l'avoir de prévoyance professionnelle de l'appelant. A supposer que tel ait été le cas, comme l'allègue l'appelant, une renonciation éventuelle aux dits droits aurait impliqué une mention correspondante dans la convention de divorce ou dans le jugement, mention inexistante en l'espèce. C'est par conséquent à juste titre que le Tribunal a considéré que le jugement de divorce français du 1er juillet 2013 n'avait pas réglé la question du partage des avoirs de prévoyance professionnelle des parties.</w:t>
      </w:r>
    </w:p>
    <w:p>
      <w:r>
        <w:rPr>
          <w:b/>
        </w:rPr>
        <w:t>E. 5</w:t>
      </w:r>
    </w:p>
    <w:p>
      <w:r>
        <w:t>Il convient maintenant de déterminer quel est le droit applicable à cette question. Le Tribunal a considéré que celle-ci devait être résolue à la lumière du droit suisse, dans la mesure où les époux n'avaient pas de nationalité étrangère commune (art. 64 al. 2 et 61 LDIP). L'appelant fait valoir qu'il doit être fait usage in casu de la clause d'exception de l'art. 15 al. 1 LDIP, selon laquelle le droit désigné par la LDIP n'est exceptionnellement pas applicable si, au regard de l'ensemble des circonstances, il est manifeste que la cause n'a qu'un lien très lâche avec ce droit et qu'elle se trouve dans une relation beaucoup plus étroite avec un autre droit. La présente cause ayant un lien plus étroit avec la France qu'avec la Suisse, le droit français était applicable.</w:t>
      </w:r>
    </w:p>
    <w:p>
      <w:r>
        <w:rPr>
          <w:b/>
        </w:rPr>
        <w:t>E. 5.1</w:t>
      </w:r>
    </w:p>
    <w:p>
      <w:r>
        <w:t>Conformément à l'art. 64 al. 2 LDIP, l'action en complément du divorce est en principe régie par le droit applicable au divorce. En vertu de l'art. 61 LDIP, le divorce est régi par le droit suisse (al. 1); cependant, si les époux ont une nationalité étrangère commune et qu'un seul est domicilié en Suisse, leur droit national commun s'applique (al. 2). Les effets accessoires du divorce sont régis par le droit applicable au divorce, sous réserve, notamment, des dispositions de la loi relatives à l'obligation d'entretien entre époux et au régime matrimonial (art. 63 al. 2 LDIP). Selon la jurisprudence, le partage de la prestation de sortie de la prévoyance professionnelle ne tombe pas sous la réserve en faveur des règles touchant à l'obligation d'entretien ou au régime matrimonial; c'est donc le droit</w:t>
      </w:r>
    </w:p>
    <w:p>
      <w:r>
        <w:t>- 8/11 -</w:t>
      </w:r>
    </w:p>
    <w:p>
      <w:r>
        <w:t>C/11956/2014 applicable au divorce qui trouve en principe application (ATF 134 III 661 consid. 3.1). Pour ce qui est du droit applicable, l'art. 64 al. 2 LDIP consacre ainsi la même solution que l'art. 63 al. 2 LDIP. L'hypothèse du complément d'un jugement de divorce, même étranger, est traitée de la même manière que s'il s'agissait du prononcé du divorce en Suisse (BUCHER, Commentaire romand, 2011, n. 6 ad art. 64 LDIP). L'art. 15 LDIP permet exceptionnellement au juge de ne pas appliquer le droit auquel renvoie une règle sur les conflits de loi lorsque, au regard de l'ensemble des circonstances, il est manifeste que la cause n'a qu'un lien très lâche avec ce droit. Selon la jurisprudence, il faut y recourir de manière restrictive: elle ne doit notamment pas permettre d'éviter les conséquences indésirables du droit matériel. En relation avec un complément de jugement de divorce ayant trait au partage d'une prestation de sortie de la LPP, la durée du mariage des parties, l'exercice d'une activité professionnelle en Suisse pendant une longue période et l'absence de prévoyance de l'époux bénéficiaire du partage constituent des critères à prendre en considération. Il en va de même du fait que l'épouse se soit chargée de l'éducation des enfants et de la tenue du ménage, de sorte qu'elle n'a pas exercé d'activité professionnelle lucrative. Il convient ainsi de déterminer, sur la base des critères précités, si les avoirs d'un conjoint auprès de sa caisse de pension étaient déterminants pour lui et sa famille sur le plan de la prévoyance (arrêt du Tribunal fédéral 5A_49/2008 consid. 6.2.1; 5C.297/2006 du 8 mars 2007 consid. 3).</w:t>
      </w:r>
    </w:p>
    <w:p>
      <w:r>
        <w:rPr>
          <w:b/>
        </w:rPr>
        <w:t>E. 5.2</w:t>
      </w:r>
    </w:p>
    <w:p>
      <w:r>
        <w:t>En l'espèce, c'est à juste titre que le Tribunal a considéré que le droit désigné par l'art. 61 al. 1 LDIP, auquel renvoie l'art.64 al. 1 LDIP, est le droit suisse, les parties n'ayant pas de nationalité étrangère commune au sens de l'art. 61 al. 2 LDIP puisque l'appelant est de nationalité française et l'intimée de nationalité brésilienne. Reste à examiner si, comme le soutien l'appelant, il convient de renoncer à appliquer le droit suisse au motif qu'il est manifeste que la cause n'a qu'un lien très lâche avec ce droit. Les parties se sont mariées en France et la vie commune s'est déroulée exclusivement dans ce pays. Aucune des parties n'est de nationalité suisse. La durée de la vie commune fait l'objet d'une controverse entre les parties. A cet égard, il convient de retenir, conformément à ce qui figure dans la convention de divorce entérinée par jugement du 1er juillet 2013 et dans la décision du Service français de l'immigration, qui a procédé à une enquête, que la vie commune des</w:t>
      </w:r>
    </w:p>
    <w:p>
      <w:r>
        <w:t>- 9/11 -</w:t>
      </w:r>
    </w:p>
    <w:p>
      <w:r>
        <w:t>C/11956/2014 parties a bien duré deux mois, comme l'allègue l'appelant et non deux ans comme le prétend l'intimée. La seule pièce produite par cette dernière à l'appui de sa thèse, à savoir un contrat adressé à l'appelant le 1er novembre 2006 au 2______ (Haute-Savoie/France) ne suffit en effet pas à établir que les indications figurant dans la convention de divorce et la décision administrative française précitée sont fausses. Le seul lien de la cause avec la Suisse consiste dans le fait que l'appelant travaillait en Suisse au moment du mariage et qu'il s'y est installé après la séparation des époux. L'intimée quant à elle n'a jamais travaillé ni résidé en Suisse. Le mariage a duré formellement environ huit ans, mais n'a eu de substance que pendant deux mois, les époux n'ont pas eu d'enfant et cette union n'a eu aucune influence négative sur la situation professionnelle de l'intimée. Il ressort de ce qui précède que l'union des parties n'a eu que des liens ténus avec la Suisse. Vu la brièveté de la vie commune, l'on ne saurait retenir que les parties ont organisé la répartition des tâches des époux pendant le mariage en tenant compte, pour planifier leur prévoyance, de l'avoir LPP accumulé par l'intimé en Suisse. Dans ces circonstances, il convient de considérer que le sort de la prestation de sortie de l'appelant ne relève pas du droit suisse, mais du droit français, puisque le centre de la vie des époux se trouvait en France, pays avec lequel la cause entretien des liens plus étroit qu'avec la Suisse. Dans la mesure où le droit français ne prévoit pas le partage de la prestation de sortie de la prévoyance professionnelle d'un époux constituée en Suisse, il n'y a pas lieu de compléter le jugement de divorce. Le jugement querellé sera par conséquent annulé, l'intimée étant déboutée de toutes ses conclusions.</w:t>
      </w:r>
    </w:p>
    <w:p>
      <w:r>
        <w:rPr>
          <w:b/>
        </w:rPr>
        <w:t>E. 6</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au regard de l'issue du litige, les frais judiciaires de première instance et d'appel, arrêtés respectivement à 1'000 fr. et 2'000 fr., seront mis à charge de l'intimée qui succombe (art. 30 et 35 du RTFMC).</w:t>
      </w:r>
    </w:p>
    <w:p>
      <w:r>
        <w:t>- 10/11 -</w:t>
      </w:r>
    </w:p>
    <w:p>
      <w:r>
        <w:t>C/11956/2014 Dans la mesure où celle-ci plaide au bénéfice de l'assistance juridique, ces frais seront provisoirement supportés par l'Etat de Genève, qui pourra en demander le remboursement ultérieurement aux conditions prévues par la loi (art. 122 al. 1 let. b, 123 al. 1 CPC et 19 RAJ). L'avance de frais de 3'750 fr. fournie par l'appelant lui sera restituée. Compte tenu de la nature familiale du litige, chacune des parties supportera ses propres dépens de première instance et d'appel, étant souligné que l'appelant n'a pas conclu à l'allocation de dépens en sa faveur (art. 107 al. 1 let. c CPC). * * * * *</w:t>
      </w:r>
    </w:p>
    <w:p>
      <w:r>
        <w:t>- 11/11 -</w:t>
      </w:r>
    </w:p>
    <w:p>
      <w:r>
        <w:t>C/11956/2014 PAR CES MOTIFS, La Chambre civile : A la forme : Déclare recevable l'appel interjeté par A______ contre le jugement JTPI/15692/2015 rendu le 23 décembre 2015 par le Tribunal de première instance dans la cause C/11956/2014-9. Au fond : Annule le jugement précité et, cela fait, statuant à nouveau : Déboute B______ de toutes ses conclusions. Sur les frais de première instance et d'appel : Arrête à 3'000 fr. les frais judiciaires de première instance et d'appel et les met à charge de B______. Dit que les frais judiciaires sont provisoirement supportés par l'Etat de Genève. Invite les Services financiers du Pouvoir judiciaire à restituer à A______ l'avance de frais en 3'750 fr. qu'il a effectuée. Dit que chaque partie supporte ses propres dépens de première instance et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