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ACJC/116/2024 vom 2. Februar 2024</w:t>
      </w:r>
    </w:p>
    <w:p>
      <w:r>
        <w:t>GE Cour de justice, 2024-02-02, FR</w:t>
      </w:r>
    </w:p>
    <w:p>
      <w:r>
        <w:rPr>
          <w:b/>
        </w:rPr>
        <w:t xml:space="preserve">Quelle: </w:t>
      </w:r>
      <w:r>
        <w:t>https://mcp.opencaselaw.ch/entscheid/ge_gerichte_ACJC_116_2024</w:t>
      </w:r>
    </w:p>
    <w:p>
      <w:r>
        <w:t>FR: GE_GERICHTE ACJC/116/2024 du 2 février 2024</w:t>
      </w:r>
    </w:p>
    <w:p>
      <w:r>
        <w:t>IT: GE_GERICHTE ACJC/116/2024 del 2 febbraio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(cf. également art. 142 al. 3 CPC),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la preuve des faits allégués doit être apportée par titres (art. 254 CPC). Les maximes des débats et de disposition s'appliquent (art. 55 al. 1, 255 a contrario et art. 58 al. 1 CPC).</w:t>
      </w:r>
    </w:p>
    <w:p>
      <w:r>
        <w:rPr>
          <w:b/>
        </w:rPr>
        <w:t>E. 1.4</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t>- 5/7 -</w:t>
      </w:r>
    </w:p>
    <w:p>
      <w:r>
        <w:t>C/13231/2023</w:t>
      </w:r>
    </w:p>
    <w:p>
      <w:r>
        <w:rPr>
          <w:b/>
        </w:rPr>
        <w:t>E. 2</w:t>
      </w:r>
    </w:p>
    <w:p>
      <w:r>
        <w:t>Le recourant se plaint d'une violation de son droit d'être entendu.</w:t>
      </w:r>
    </w:p>
    <w:p>
      <w:r>
        <w:rPr>
          <w:b/>
        </w:rPr>
        <w:t>E. 2.1</w:t>
      </w:r>
    </w:p>
    <w:p>
      <w:r>
        <w:t>Compte tenu de la nature formelle de ce grief, qui est propre à entraîner l'annulation de la décision attaquée indépendamment des chances de succès sur le fond, il convient de l'examiner en premier lieu (ATF 137 I 195 consid. 2.2; 135 I 279 consid. 2; arrêt du Tribunal fédéral 5A_699/2017 du 24 octobre 2017 consid. 3.1.3). 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par-là, à prévenir une décision arbitraire (ATF 112 Ia 107 consid. 2b; voir aussi ATF 129 I 232 consid. 3.2; 126 I 97 consid. 2b).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w:t>
      </w:r>
    </w:p>
    <w:p>
      <w:r>
        <w:rPr>
          <w:b/>
        </w:rPr>
        <w:t>E. 2.2</w:t>
      </w:r>
    </w:p>
    <w:p>
      <w:r>
        <w:t>En l'espèce, le premier juge s'est limité à retenir que les pièces produites par l'intimée valaient reconnaissance de dette, sans autre explication, alors qu'aucune de ces pièces ne portait la signature des deux parties et qu'en particulier le contrat de leasing produit avait été conclu entre le recourant et G______ SARL et ne portait pas le même numéro de référence que celui indiqué dans le</w:t>
      </w:r>
    </w:p>
    <w:p>
      <w:r>
        <w:t>- 6/7 -</w:t>
      </w:r>
    </w:p>
    <w:p>
      <w:r>
        <w:t>C/13231/2023 commandement de payer. L'on ignore donc à quelle pièce ou à quel ensemble de pièces se réfère le premier juge.</w:t>
      </w:r>
    </w:p>
    <w:p>
      <w:r>
        <w:t>Par ailleurs, le Tribunal s'est borné à considérer que le recourant n'avait fait valoir aucun moyen libératoire susceptible de faire échec au prononcé de la mainlevée, sans autre explication et sans faire aucune mention des déterminations écrites et des pièces déposées par le recourant. Il n'a traité aucun des arguments soulevés par ce dernier, bien qu'il n'a pas déclaré ses déterminations irrecevables.</w:t>
      </w:r>
    </w:p>
    <w:p>
      <w:r>
        <w:t>Dans ces conditions, il n'est pas possible de discerner les motifs qui ont guidé le Tribunal et sur lesquels celui-ci a fondé sa décision. Ainsi, le recourant n'est pas en mesure de se rendre compte de la portée de la décision et l'attaquer en connaissance de cause. De même, la Cour est dans l'impossibilité d'exercer son contrôle, étant souligné que les justiciables ont en principe le droit au respect des degrés de juridiction (ATF 137 I 195 consid. 2.7, SJ 2011 I 345)</w:t>
      </w:r>
    </w:p>
    <w:p>
      <w:r>
        <w:t>Ces constatations conduisent à l'annulation du jugement attaqué et au renvoi de la cause au Tribunal pour nouvelle décision.</w:t>
      </w:r>
    </w:p>
    <w:p>
      <w:r>
        <w:rPr>
          <w:b/>
        </w:rPr>
        <w:t>E. 3.1</w:t>
      </w:r>
    </w:p>
    <w:p>
      <w:r>
        <w:t>Selon l'art. 104 al. 1 CPC, le tribunal statue sur les frais en règle générale dans la décision finale. Compte tenu du renvoi de la cause au Tribunal, le sort des frais de première instance sera réglé avec le jugement final (art. 104 al. 1 et art. 318 al. 3 CPC).</w:t>
      </w:r>
    </w:p>
    <w:p>
      <w:r>
        <w:rPr>
          <w:b/>
        </w:rPr>
        <w:t>E. 3.2</w:t>
      </w:r>
    </w:p>
    <w:p>
      <w:r>
        <w:t>Les frais judiciaires qui ne sont pas imputables aux parties ni aux tiers peuvent être mis à la charge du canton si l'équité l'exige (art. 107 al. 2 CPC). En l'espèce, les frais judiciaires de recours seront fixés à 300 fr. (art. 48 et 61 OELP). Compte tenu de l'issue du recours, il se justifie de les mettre à la charge du canton, de sorte que les Services financiers du Pouvoir judiciaire seront invités à restituer son avance au recourant. Ce dernier, qui plaide en personne, ne sollicite pas de dépens de recours.</w:t>
      </w:r>
    </w:p>
    <w:p>
      <w:r>
        <w:t>* * * * *</w:t>
      </w:r>
    </w:p>
    <w:p>
      <w:r>
        <w:t>- 7/7 -</w:t>
      </w:r>
    </w:p>
    <w:p>
      <w:r>
        <w:t>C/13231/2023 PAR CES MOTIFS, La Chambre civile : A la forme : Déclare recevable le recours interjeté le 4 décembre 2023 par A______ contre le jugement JTPI/12762/2023 rendu le 6 novembre 2023 par le Tribunal de première instance dans la cause C/13231/2023-12 SML. Au fond : Annule le jugement attaqué. Renvoie la cause au Tribunal de première instance pour nouvelle décision dans le sens des considérants. Déboute les parties de toutes autres conclusions. Sur les frais : Arrête les frais judiciaires du recours à 300 fr. et les met à la charge de l'Etat de Genève. Invite les Services financiers du Pouvoir judiciaire à restituer 300 fr. à A______.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