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ACJC/1164/2013 vom 24. Juni 2013</w:t>
      </w:r>
    </w:p>
    <w:p>
      <w:r>
        <w:t>GE Cour de justice, 2013-06-24, FR</w:t>
      </w:r>
    </w:p>
    <w:p>
      <w:r>
        <w:rPr>
          <w:b/>
        </w:rPr>
        <w:t xml:space="preserve">Quelle: </w:t>
      </w:r>
      <w:r>
        <w:t>https://mcp.opencaselaw.ch/entscheid/ge_gerichte_ACJC_1164_2013</w:t>
      </w:r>
    </w:p>
    <w:p>
      <w:r>
        <w:t>FR: GE_GERICHTE ACJC/1164/2013 du 24 juin 2013</w:t>
      </w:r>
    </w:p>
    <w:p>
      <w:r>
        <w:t>IT: GE_GERICHTE ACJC/1164/2013 del 24 giugno 2013</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écrit et motivé, doit être intro- 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 ties. En revanche, elle n'entre pas en matière lorsque le recourant n'expose pas avec précision en quoi un point de fait a été établi de manière manifestement inexacte. Il ne peut se borner à opposer sa propre version des faits à celle du pre- mier juge (CHAIX, Introduction au recours de la nouvelle procédure civile fédé- rale, SJ 2009 II p. 257 ss, n. 16 et 20).</w:t>
      </w:r>
    </w:p>
    <w:p>
      <w:r>
        <w:t>- 5/9 -</w:t>
      </w:r>
    </w:p>
    <w:p>
      <w:r>
        <w:t>C/2547/2013 Il appartient donc au recourant de motiver en droit son recours et de démontrer l'arbitraire des faits retenus par l'instance inférieure (HOHL/DE PORET/ BORTOLASO/AGUET, op. cit., n. 2513-2515).</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 Les règles de la procédure ordinaire complètent les dispositions relatives à la pro- cédure sommaire (art. 219 CPC) dans la mesure où elles sont compatibles avec le caractère du procès sommaire. Les dérogations aux règles de la procédure ordi- naire peuvent découler directement de la loi ou être commandées par les exigen- ces d'une procédure particulière (Message du Conseil fédéral du 28 juin 2006 rela- tif au code de procédure civile suisse, in FF 2006 p. 6841 ss, spéc. 6946 et 6957). De son nom, on peut déduire le caractère prompt et sans grande formalité de la procédure sommaire. Ces deux caractéristiques découlent de la finalité de cette procédure, à savoir le prononcé rapide d'une décision qui ne tranche que provi- 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 le Tribunal fédéral n'a pas encore jugé si une suspension de la procédure peut être ordonnée dans le cadre d'une procédure sommaire (arrêt du Tribunal fédéral 5A_311/2012 du 15 mai 2013 consid. 3). La procédure de mainlevée - provisoire ou définitive - est un incident de la pour- 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Une décision de mainlevée définitive, rendue en procédure sommaire, ne tranche qu'une pure question de la procédure d'exécution forcée, n'a d'effets que dans la poursuite en cours et est par conséquent dépourvue d’autorité de chose jugée hors de la poursuite en question (ATF 100 III 48 consid. 3 = JdT 1975 II 116; arrêt du Tribunal fédéral 6P.142/2005 du 9 février 2006 consid. 2.2; SCHMIDT, Commentaire romand, LP, 2005, n. 17 s. ad art. 80 LP).</w:t>
      </w:r>
    </w:p>
    <w:p>
      <w:r>
        <w:rPr>
          <w:b/>
        </w:rPr>
        <w:t>E. 3.2</w:t>
      </w:r>
    </w:p>
    <w:p>
      <w:r>
        <w:t>Compte tenu des caractéristiques de la procédure de mainlevée, soit en parti- culier que le juge de la mainlevée ne tranche qu'une question de procédure d'exé- cution forcée et que le jugement de mainlevée définitive est dépourvu de l'autorité de chose jugée hors de la présente poursuite, il n'y a en l'espèce pas de risque de contrariété lié à l'existence d'une procédure connexe. Indépendamment du carac- tère sommaire de la présente procédure, il ne se justifie donc pas de suspendre la</w:t>
      </w:r>
    </w:p>
    <w:p>
      <w:r>
        <w:t>- 6/9 -</w:t>
      </w:r>
    </w:p>
    <w:p>
      <w:r>
        <w:t>C/2547/2013 présente cause jusqu'à droit connu dans la procédure relative à la demande en modification du jugement de mesures protectrices de l'union conjugale du 10 février 2011.</w:t>
      </w:r>
    </w:p>
    <w:p>
      <w:r>
        <w:rPr>
          <w:b/>
        </w:rPr>
        <w:t>E. 4.1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op. cit.,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ATF 131 III 87 consid. 3.2).</w:t>
      </w:r>
    </w:p>
    <w:p>
      <w:r>
        <w:rPr>
          <w:b/>
        </w:rPr>
        <w:t>E. 4.2</w:t>
      </w:r>
    </w:p>
    <w:p>
      <w:r>
        <w:t>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(art. 80 ss LP; SCHWEIZER, Code de procédure civile commenté, Bâle, 2011, n. 2 et 3 ad art. 180 CPC).</w:t>
      </w:r>
    </w:p>
    <w:p>
      <w:r>
        <w:rPr>
          <w:b/>
        </w:rPr>
        <w:t>E. 4.3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- 7/9 -</w:t>
      </w:r>
    </w:p>
    <w:p>
      <w:r>
        <w:t>C/2547/2013 Parmi les moyens libératoires qui remettent en cause l'existence ou l'exigibilité de la créance déduite en poursuite (art. 81 al. 1 LP) figure la modification du juge- ment sur lequel le poursuivant se fonde pour requérir la mainlevée définitive de l'opposition (ATF 55 II 161; GILLIERON, op. cit., n. 51 ad art. 81 LP; cf. STAEHELIN, op. cit., n. 47 ad art. 80 LP). Toutefois, tant selon la doctrine que selon la jurisprudence, un jugement portant condamnation à verser une contri- 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 pensif (STAEHELIN op. cit., n. 7 ss ad art. 80 LP; arrêt du Tribunal fédéral 5A_419/2009 du 15 septembre 2009 consid. 7.3.1). L'extinction de la dette doit être soulevée et prouvée par titre par le poursuivi (SCHMIDT, op. cit., n. 1 ad art. 81 LP).</w:t>
      </w:r>
    </w:p>
    <w:p>
      <w:r>
        <w:rPr>
          <w:b/>
        </w:rPr>
        <w:t>E. 4.4</w:t>
      </w:r>
    </w:p>
    <w:p>
      <w:r>
        <w:t>Dans le cas d'espèce, la poursuivante a fondé sa requête de mainlevée sur le jugement de mesures protectrices de l'union conjugale rendu le 10 février 2011 par le Tribunal de première instance, confirmé par arrêt de la Cour de justice du 10 août 2011. Ces décisions sont définitives et exécutoires, dès lors qu'aucun recours n'a été déposé au Tribunal fédéral, selon l'attestation produite par l'inti- mée. Le recourant ne prétend d'ailleurs pas avoir saisi la Haute Cour d'un recours. Ce serait faire preuve de formalisme excessif d'exiger la production d'une attesta- tion du caractère exécutoire, en sus de l'attestation du Tribunal fédéral. Par ailleurs, et dans la mesure où le recourant ne remet pas en cause l'authenticité des copies des décisions rendues par les instances genevoises de mesures protec- trices de l'union conjugale, l'intimée était fondée à produire des copies de ces documents, et non les jugements originaux. Le recourant soutient avoir versé 8'962 fr. 50, somme devant être déduite des montants requis en poursuite. La Cour relève que le recourant s'est toutefois con- tenté d'alléguer avoir payé les primes d'assurance-maladie de son épouse, sans produire aucune pièce propre à démontrer ces paiements. Il était pourtant aisé de verser à la présente procédure les justificatifs de tels versements. Le recourant n'a dès lors pas prouvé par titre le moyen libératoire qu'il invoque. Pour le surplus, l'existence d'une procédure de modification des mesures protec- trices ne fait pas obstacle au prononcé de la mainlevée définitive de l'opposition formée au commandement de payer.</w:t>
      </w:r>
    </w:p>
    <w:p>
      <w:r>
        <w:rPr>
          <w:b/>
        </w:rPr>
        <w:t>E. 4.5</w:t>
      </w:r>
    </w:p>
    <w:p>
      <w:r>
        <w:t>Dès lors, c'est à bon droit que le Tribunal de première instance a fait droit à la requête de l'intimée. Le recours sera en conséquence rejeté.</w:t>
      </w:r>
    </w:p>
    <w:p>
      <w:r>
        <w:t>- 8/9 -</w:t>
      </w:r>
    </w:p>
    <w:p>
      <w:r>
        <w:t>C/2547/2013</w:t>
      </w:r>
    </w:p>
    <w:p>
      <w:r>
        <w:rPr>
          <w:b/>
        </w:rPr>
        <w:t>E. 5</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500 fr. Partant, l'émolument de la présente décision sera fixé à 750 fr. et mis à la charge du recourant, compensé avec l'avance de frais opérée par celui-ci, acquise à l'Etat (art. 111 CPC). Le recourant sera également condamné aux dépens de l'intimée assistée d'un conseil devant la Cour, arrêtés à 1'300 fr., débours et TVA compris (art. 96 et 105 al. 2 CPC; art. 85, 89 et 90 du règlement fixant le tarif des greffes en matière civile du 22 décembre 2010, E 1 05.10; art. 25 et 26 LaCC; art. 25 LTVA).</w:t>
      </w:r>
    </w:p>
    <w:p>
      <w:r>
        <w:rPr>
          <w:b/>
        </w:rPr>
        <w:t>E. 6</w:t>
      </w:r>
    </w:p>
    <w:p>
      <w:r>
        <w:t>La valeur litigieuse, au sens de l'art. 51 LTF, est supérieure 30'000 fr. * * * * *</w:t>
      </w:r>
    </w:p>
    <w:p>
      <w:r>
        <w:t>- 9/9 -</w:t>
      </w:r>
    </w:p>
    <w:p>
      <w:r>
        <w:t>C/2547/2013 PAR CES MOTIFS, La Chambre civile : A la forme : Déclare recevable le recours interjeté par A______ contre le jugement JTPI/8724/2013 rendu le 24 juin 2013 par le Tribunal de première instance dans la cause C/2547/2013-1. Au fond : Rejette ce recours. Déboute les parties de toutes autres conclusions. Sur les frais du recours : Arrête les frais judiciaires à 750 fr. et les met à charge de A______ couverts par l'avance de frais fournie par lui, acquise à l'Etat. Condamne A______ à verser à B______ 1'300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