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ACJC/1163/2025 vom 3. September 2025</w:t>
      </w:r>
    </w:p>
    <w:p>
      <w:r>
        <w:t>GE Cour de justice, 2025-09-03, FR</w:t>
      </w:r>
    </w:p>
    <w:p>
      <w:r>
        <w:rPr>
          <w:b/>
        </w:rPr>
        <w:t xml:space="preserve">Quelle: </w:t>
      </w:r>
      <w:r>
        <w:t>https://mcp.opencaselaw.ch/entscheid/ge_gerichte_ACJC_1163_2025</w:t>
      </w:r>
    </w:p>
    <w:p>
      <w:r>
        <w:t>FR: GE_GERICHTE ACJC/1163/2025 du 3 septembre 2025</w:t>
      </w:r>
    </w:p>
    <w:p>
      <w:r>
        <w:t>IT: GE_GERICHTE ACJC/1163/2025 del 3 settembre 2025</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ainsi que par les</w:t>
      </w:r>
    </w:p>
    <w:p>
      <w:r>
        <w:t>- 4/8 -</w:t>
      </w:r>
    </w:p>
    <w:p>
      <w:r>
        <w:t>C/21594/2020 constatations de fait qui n'ont pas été critiquées devant lui ou l'ont été sans succès (ATF 148 I 127 consid. 3.1; 143 IV 214 consid. 5.2.1).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w:t>
      </w:r>
    </w:p>
    <w:p>
      <w:r>
        <w:rPr>
          <w:b/>
        </w:rPr>
        <w:t>E. 1.2</w:t>
      </w:r>
    </w:p>
    <w:p>
      <w:r>
        <w:t>En l'occurrence, le renvoi porte sur les dépens de la procédure cantonale. Il convient donc de statuer à nouveau sur ce point uniquement.</w:t>
      </w:r>
    </w:p>
    <w:p>
      <w:r>
        <w:rPr>
          <w:b/>
        </w:rPr>
        <w:t>E. 1.3</w:t>
      </w:r>
    </w:p>
    <w:p>
      <w:r>
        <w:t>Il est précisé que la composition qui rend le présent arrêt est différente de celle ayant rendu l'arrêt qui a été partiellement annulé par le Tribunal fédéral en raison du départ de la Cour civile de la Cour de justice du juge G______.</w:t>
      </w:r>
    </w:p>
    <w:p>
      <w:r>
        <w:rPr>
          <w:b/>
        </w:rPr>
        <w:t>E. 2</w:t>
      </w:r>
    </w:p>
    <w:p>
      <w:r>
        <w:t>Dans son arrêt, le Tribunal fédéral a suivi les conclusions de l'appelant tendant au partage par moitié des avoirs de prévoyance professionnelle accumulés durant le mariage. Il convient dès lors de déterminer dans quelle mesure cette réforme de l'arrêt de la Cour nécessite de revoir la question des frais.</w:t>
      </w:r>
    </w:p>
    <w:p>
      <w:r>
        <w:rPr>
          <w:b/>
        </w:rPr>
        <w:t>E. 2.1</w:t>
      </w:r>
    </w:p>
    <w:p>
      <w:r>
        <w:t>Les frais comprennent les frais judiciaires et les dépens, les cantons en fixant le tarif (art. 95 al. 1 et 96 CPC).</w:t>
      </w:r>
    </w:p>
    <w:p>
      <w:r>
        <w:rPr>
          <w:b/>
        </w:rPr>
        <w:t>E. 2.1.1</w:t>
      </w:r>
    </w:p>
    <w:p>
      <w:r>
        <w:t>Les frais sont mis à la charge de la partie succombante (art. 106 al. 1 CPC). Lorsqu'aucune des parties n'obtient entièrement gain de cause, les frais sont répartis selon le sort de la cause (art.106 al. 2 CPC). Il s'agit de procéder dans ce cas à une répartition proportionnelle à la mesure où chacune des parties a succombé. Pour déterminer cette mesure, il faut en principe comparer ce que chaque partie obtient par rapport à ses conclusions. C'est selon l'ensemble des circonstances du cas concret que l'on doit décider si une partie obtient gain de cause en tout ou partie et, en cas de gain partiel, comment les frais doivent être répartis (arrêt du Tribunal fédéral 5A_197/2017 du 21 juillet 2017 consid. 1.3.2). Le tribunal peut toutefois s'écarter des règles générales et répartir les frais selon sa libre appréciation dans les hypothèses prévues par l'art. 107 CPC, notamment lorsque le litige relève du droit de la famille (art. 107 al. 1 let. c CPC).</w:t>
      </w:r>
    </w:p>
    <w:p>
      <w:r>
        <w:t>- 5/8 -</w:t>
      </w:r>
    </w:p>
    <w:p>
      <w:r>
        <w:t>C/21594/2020 Une dérogation fondée sur l'art. 107 al. 1 let. c CPC peut entrer en considération lorsque les divers points litigieux ne peuvent se compenser, dès lors qu'il ne s'agit pas uniquement de prétentions pécuniaires; il en va de même quand la situation économique des parties est sensiblement différente (arrêt du Tribunal fédéral 5A_456/2022 du 19 septembre 2023 consid. 8.3.1 et les arrêts cités). Il ne résulte toutefois pas de l'art. 107 al. 1 lit. c CPC qu'en procédure de divorce, il faudrait toujours répartir les frais par moitié. En cas de divorce avec convention selon l'art. 111 CC, il ne peut certes y avoir de gagnant ni de perdant. Il en va autrement en cas de divorce (partiellement) litigieux, tel un divorce selon l'art. 112 CC. En pareil cas, il est conforme à la volonté du législateur et admissible de répartir les frais en fonction du gain ou de la perte du procès sur les effets du divorce (arrêt du Tribunal fédéral 5A_70/2013 du 11 juin 2013 consid. 6; cf. également arrêt du Tribunal fédéral 5A_66/2021 du 28 septembre 2021 consid. 3.5.2). Le juge décide librement si et comment il entend appliquer l'art. 107 al. 1 CPC et jouit d'un large pouvoir d'appréciation (ATF 145 III 153 consid. 3.3.2), s'agissant d'une norme fondée sur l'équité et obéissant ainsi aux règles de l'art. 4 CC (arrêt du Tribunal fédéral 5A_456/2022 précité consid. 8.3.2 et les arrêts cités).</w:t>
      </w:r>
    </w:p>
    <w:p>
      <w:r>
        <w:rPr>
          <w:b/>
        </w:rPr>
        <w:t>E. 2.1.2</w:t>
      </w:r>
    </w:p>
    <w:p>
      <w:r>
        <w:t>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quant à lui que pour les affaires pécuniaires, le défraiement prend pour base le tarif prévu; sans préjudice de l'art. 23 LaCC, il peut s'en écarter de plus ou moins 10% pour tenir compte des éléments rappelés à l'art. 84 RTFMC. Dans les procédures d'appel et de recours, ce défraiement est réduit dans la règle d'un à deux tiers par rapport au tarif de l'art. 85 RTFMC (art. 90 RTFMC).</w:t>
      </w:r>
    </w:p>
    <w:p>
      <w:r>
        <w:rPr>
          <w:b/>
        </w:rPr>
        <w:t>E. 2.2</w:t>
      </w:r>
    </w:p>
    <w:p>
      <w:r>
        <w:t>En l'espèce, l'appelant n'avait pas contesté devant la Cour la répartition par moitié des frais judicaires de première instance, ni leur montant, ni le fait que des dépens n'étaient pas alloués. Il ne peut dès lors, à l'occasion du renvoi du Tribunal fédéral, remettre en cause les ch. 22, 23 et 24 du dispositif du jugement du Tribunal qui n'avaient pas fait l'objet de son appel. Il n'explique pas, en tout état de cause, pour quel motif il conviendrait de considérer que, sur l'ensemble des points réglés par le Tribunal, il aurait obtenu gain de cause et l'intimée aurait succombé. Concernant les frais d'appel, leur montant n'est pas contesté. L'appelant soutient en revanche qu'ils devraient être mis à la charge de l'intimée compte tenu du fait qu'au terme de la procédure devant le Tribunal fédéral, il a obtenu gain de cause.</w:t>
      </w:r>
    </w:p>
    <w:p>
      <w:r>
        <w:t>- 6/8 -</w:t>
      </w:r>
    </w:p>
    <w:p>
      <w:r>
        <w:t>C/21594/2020 Cela étant, l'appelant avait déjà obtenu, partiellement, gain de cause devant la Cour sans que cette dernière considère que les frais devaient être mis à la charge de l'intimée au vu de l'issue du litige. L'appelant obtient gain de cause sur un point supplémentaire devant le Tribunal fédéral, mais la réforme de l'arrêt de la Cour sur ce point ne nécessite pas de revoir l'arrêt du 17 octobre 2023 à cet égard. En effet, le litige relève du droit de la famille et le disponible mensuel de l'intimée est limité au (faible) montant de 267 fr., inférieur à celui de l'appelant. Pour des motifs d'équité, les frais seront donc mis à charge des parties à raison d'une moitié chacune et chaque partie supportera ses propres dépens. L'appelant bénéficiant de l'assistance judiciaire, sa part des frais sera provisoirement laissée à charge de l'Etat de Genève, qui pourra en réclamer le remboursement ultérieurement aux conditions prévues par la loi.</w:t>
      </w:r>
    </w:p>
    <w:p>
      <w:r>
        <w:rPr>
          <w:b/>
        </w:rPr>
        <w:t>E. 3</w:t>
      </w:r>
    </w:p>
    <w:p>
      <w:r>
        <w:t>Il sera renoncé à percevoir un émolument de décision dans le cadre de la présente procédure de renvoi, celle-ci ayant été rendue nécessaire par l'annulation partielle de l'arrêt de la Cour du 17 octobre 2023 par le Tribunal fédéral. Pour le surplus, l'octroi de dépens en lien avec ladite procédure de renvoi ne se justifie pas (art. 107 al. 1 let. c CPC). * * * * *</w:t>
      </w:r>
    </w:p>
    <w:p>
      <w:r>
        <w:t>- 7/8 -</w:t>
      </w:r>
    </w:p>
    <w:p>
      <w:r>
        <w:t>C/21594/2020 PAR CES MOTIFS, La Chambre civile : Statuant sur renvoi du Tribunal fédéral : Confirme les chiffres 21 à 25 du dispositif du jugement JTPI/15229/2022 rendu le 21 décembre 2022 par le Tribunal de première instance dans la cause C/21594/2020. Arrête les frais judiciaires d'appel à 1'000 fr. et les met à charge des parties à raison d'une moitié chacune. Dit que les frais judiciaires d'appel à charge de A______ sont provisoirement supportés par l'Etat de Genève. Condamne B______ à verser 500 fr. à l'Etat de Genève, soit pour lui les Services financiers du Pouvoir judiciaire. Dit qu'il n'est pas alloué de dépens d'appel. Dit qu'il n'y a pas lieu à perception de frais judiciaires, ni à fixation de dépens pour la procédure postérieure à l'arrêt de renvoi du Tribunal fédéral. Déboute les parties de toutes autres conclusions. Siégeant : Monsieur Laurent RIEBEN, président; Madame Fabienne GEISINGER-MARIETHOZ, Madame Ursula ZEHETBAUER GHAVAMI, juges; Madame Jessica ATHMOUNI, greffière.</w:t>
      </w:r>
    </w:p>
    <w:p>
      <w:r>
        <w:t>- 8/8 -</w:t>
      </w:r>
    </w:p>
    <w:p>
      <w:r>
        <w:t>C/21594/2020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