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ACJC/1160/2017 vom 25. September 2017</w:t>
      </w:r>
    </w:p>
    <w:p>
      <w:r>
        <w:t>GE Cour de justice, 2017-09-25, FR</w:t>
      </w:r>
    </w:p>
    <w:p>
      <w:r>
        <w:rPr>
          <w:b/>
        </w:rPr>
        <w:t xml:space="preserve">Quelle: </w:t>
      </w:r>
      <w:r>
        <w:t>https://mcp.opencaselaw.ch/entscheid/ge_gerichte_ACJC_1160_2017</w:t>
      </w:r>
    </w:p>
    <w:p>
      <w:r>
        <w:t>FR: GE_GERICHTE ACJC/1160/2017 du 25 septembre 2017</w:t>
      </w:r>
    </w:p>
    <w:p>
      <w:r>
        <w:t>IT: GE_GERICHTE ACJC/1160/2017 del 25 settembre 2017</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devant l'autorité inférieure est supérieure à 10'000 fr. (art. 308 al. 2 CPC). Le délai pour l'introduction de l'appel est de trente jours à compter de la notification de la décision motivée (art. 311 al. 1 CPC).</w:t>
      </w:r>
    </w:p>
    <w:p>
      <w:r>
        <w:rPr>
          <w:b/>
        </w:rPr>
        <w:t>E. 1.2</w:t>
      </w:r>
    </w:p>
    <w:p>
      <w:r>
        <w:t>En l'espèce, l'appel a été introduit en temps utile, selon la forme prescrite par la loi, et porte sur des conclusions dont la valeur litigieuse, capitalisée selon l'art. 92 al. 2 CPC, est supérieure à 10'000 fr. Il est donc recevable.</w:t>
      </w:r>
    </w:p>
    <w:p>
      <w:r>
        <w:rPr>
          <w:b/>
        </w:rPr>
        <w:t>E. 1.3</w:t>
      </w:r>
    </w:p>
    <w:p>
      <w:r>
        <w:t>La compétence des tribunaux suisses ainsi que l'application du droit suisse ne sont, à juste titre, pas remis en cause par les parties, compte tenu du domicile genevois de l'enfant demandeur (art. 79 al. 1 LDIP, 83 LDIP et 4 de la Convention de La Haye sur la loi applicable aux obligations alimentaires du 2 octobre 1973).</w:t>
      </w:r>
    </w:p>
    <w:p>
      <w:r>
        <w:rPr>
          <w:b/>
        </w:rPr>
        <w:t>E. 1.4</w:t>
      </w:r>
    </w:p>
    <w:p>
      <w:r>
        <w:t>En application du principe de la force de chose jugée partielle instituée par l'art. 315 al. 1 CPC, la Cour peut revoir uniquement les dispositions du jugement entrepris qui sont remises en cause en appel. Le principe de la chose jugée l'emporte ainsi sur celui de la maxime d'office.</w:t>
      </w:r>
    </w:p>
    <w:p>
      <w:r>
        <w:t>- 10/23 -</w:t>
      </w:r>
    </w:p>
    <w:p>
      <w:r>
        <w:t>C/11614/2015 Dès lors, les ch. 3 et 6 du dispositif du jugement querellé, non remis en cause par l'appelant, sont entrés en force de chose jugée. En revanche, les ch. 1 et 2 de ce dispositif sont contestés par l'appelant et ne sont pas exécutoires alors que ses ch. 4 et 5, relatifs aux frais judiciaires de première instance, pourront encore être revus d'office par la Cour en cas d'annulation de tout ou partie du jugement entrepris dans le cadre du présent appel (art. 318 al. 3 CPC).</w:t>
      </w:r>
    </w:p>
    <w:p>
      <w:r>
        <w:rPr>
          <w:b/>
        </w:rPr>
        <w:t>E. 1.5</w:t>
      </w:r>
    </w:p>
    <w:p>
      <w:r>
        <w:t>La Cour revoit la cause avec un plein pouvoir d'examen (art. 310 CPC). S'agissant du sort des enfants mineurs, les maximes d'office et inquisitoire illimitée s'appliquent (art. 296 al.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les pièces nouvelles produites par l'appelant devant la Cour se rapportent à la situation financière des parties, susceptibles d'influencer le montant de la contribution d'entretien due à l'enfant mineur. Elles sont donc recevables.</w:t>
      </w:r>
    </w:p>
    <w:p>
      <w:r>
        <w:rPr>
          <w:b/>
        </w:rPr>
        <w:t>E. 3.1</w:t>
      </w:r>
    </w:p>
    <w:p>
      <w:r>
        <w:t>Aux termes de l'art. 286 al. 2 CC, si la situation change notablement, le juge modifie ou supprime la contribution d'entretien de l'enfant à la demande du père, de la mère ou de cet enfant.</w:t>
      </w:r>
    </w:p>
    <w:p>
      <w:r>
        <w:t>- 11/23 -</w:t>
      </w:r>
    </w:p>
    <w:p>
      <w:r>
        <w:t>C/11614/2015</w:t>
      </w:r>
    </w:p>
    <w:p>
      <w:r>
        <w:t>La modification de cette contribution à l'entretien de l'enfant suppose donc, plus précisément, que des faits nouveaux importants et durables sont survenus et qu'ils appellent une réglementation différente de cette contribution. La procédure de modification n'a en effet pas pour but de corriger le premier jugement, mais de l'adapter aux circonstances nouvelles intervenant chez les parents ou l'enfant (ATF 141 III 376 consid. 3.3.1; 137 III 604 consid. 4.1.1; 131 III 189 consid. 2.7.4; 129 III 60 consid. 2; 120 II 177 consid. 3a).</w:t>
      </w:r>
    </w:p>
    <w:p>
      <w:r>
        <w:t>Le moment déterminant pour apprécier si des circonstances nouvelles se sont produites est la date du dépôt de la demande de modification (ATF 137 III 604 consid. 4.1.1; 131 III 189 consid. 2.7.4; 120 II 177 consid. 3a; 120 II 285 consid. 4b; arrêt du Tribunal fédéral 5A_186/2012, du 28 juin 2012, consid. 5.2.2). Selon la jurisprudence relative aux contributions d'entretien octroyées dans le cadre du divorce, applicable mutatis mutandis aux contributions d'entretien fixées indépendamment d'une procédure matrimoniale, ce sont les constatations de fait et le pronostic effectués dans le jugement, d'une part, et les circonstances actuelles ou futures prévisibles, d'autre part, qui servent de fondement pour décider si la situation s'est modifiée de manière durable et importante.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étaient déjà certaines ou fort probables (ATF 131 III 189 consid. 2.7.4; arrêts 5A_562/2011 du 21 février 2012 consid. 4.2; 5A_845/2010 du 12 avril 2011 consid. 4.1).</w:t>
      </w:r>
    </w:p>
    <w:p>
      <w:r>
        <w:rPr>
          <w:b/>
        </w:rPr>
        <w:t>E. 3.2</w:t>
      </w:r>
    </w:p>
    <w:p>
      <w:r>
        <w:t>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108II 83 consid. 2c).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w:t>
      </w:r>
    </w:p>
    <w:p>
      <w:r>
        <w:t>- 12/23 -</w:t>
      </w:r>
    </w:p>
    <w:p>
      <w:r>
        <w:t>C/11614/2015 consid. 4.1.1; arrêt du Tribunal fédéral 5A_260/2016 du 14 octobre 2016 consid. 2.1 et 2.1.1). Lorsqu'il admet que les conditions susmentionnées sont remplies, le juge doit alors fixer à nouveau la contribution d'entretien, après avoir actualisé tous les éléments pris en compte pour le calcul dans le jugement précédent (ATF 137 III 604 consid. 4.1.1; 134 III 337 consid. 2.2.2; 131 III 189 consid. 2.7.4; 120 II 177 consid. 3a). 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du 14 octobre 2016 consid. 2.3).</w:t>
      </w:r>
    </w:p>
    <w:p>
      <w:r>
        <w:rPr>
          <w:b/>
        </w:rPr>
        <w:t>E. 3.3</w:t>
      </w:r>
    </w:p>
    <w:p>
      <w:r>
        <w:t>En l'espèce, dans son jugement JTPI/14622/2009 du 26 novembre 2009, le Tribunal avait statué par défaut en se fondant sur les pièces fournies par la mère de l'intimé. Il avait retenu un salaire mensuel variant entre 5'800 et 6'300 fr. au bénéfice de l'appelant. Par la suite, l'appelant a été licencié en décembre 2012, il a perçu des indemnités de chômage pendant deux ans, puis il a travaillé comme coach sportif indépendant dès février 2015, cette dernière activité lui ayant procuré un revenu mensuel moyen allégué de 2'978 fr. brut en 2015, et de 3'116 fr. en 2016. Il vit aujourd'hui avec sa compagne, avec laquelle il a eu un second enfant, à une date indéterminée mais dont il n'a annoncé l'existence que dans sa réplique devant la Cour du 15 mai 2017. L'appelant a dès lors subi des changements importants et durables dans sa situation personnelle et financière depuis le prononcé du jugement JTPI/14622/2009 du 26 novembre 2009, de sorte que le Tribunal est, à juste titre, entré en matière sur sa demande de modification de sa contribution à l'entretien de l'enfant B______.</w:t>
      </w:r>
    </w:p>
    <w:p>
      <w:r>
        <w:rPr>
          <w:b/>
        </w:rPr>
        <w:t>E. 4</w:t>
      </w:r>
    </w:p>
    <w:p>
      <w:r>
        <w:t>septembre 2013 consid. 3.1.2; 5A_837/2010 du 11 février 2011 consid. 3.2).</w:t>
      </w:r>
    </w:p>
    <w:p>
      <w:r>
        <w:t>- 15/23 -</w:t>
      </w:r>
    </w:p>
    <w:p>
      <w:r>
        <w:t>C/11614/2015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A cet égard, la part du loyer du logement familial peut être fixée à 20% pour un enfant et à 30% pour deux enfants (BASTONS BULLETTI, op. cit., p. 102).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w:t>
      </w:r>
    </w:p>
    <w:p>
      <w:r>
        <w:rPr>
          <w:b/>
        </w:rPr>
        <w:t>E. 4.1</w:t>
      </w:r>
    </w:p>
    <w:p>
      <w:r>
        <w:t>Selon l'art. 276 CC, l'entretien d'un 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Lorsque plusieurs enfants ont droit à une contribution d'entretien, le principe de l'égalité de traitement doit être respecté (ATF 127 III 68 consid. 2c; 126 III 353 consid. 2b). Selon ce principe, les enfants d'un même débiteur doivent être financièrement traités de manière semblable, proportionnellement à leurs besoins objectifs (ATF 126 III 353 consid. 2b; arrêt du Tribunal fédéral 5A_352/2010 du 29 octobre 2010 consid. 6.2.1, publié in FamPra.ch 2011 p. 230). L'allocation de montants distincts n'est dès lors pas d'emblée exclue, mais commande une justification particulière (ATF 126 III 353 consid. 2b p. 358-359; 127 III 68 consid. 2b p. 70).</w:t>
      </w:r>
    </w:p>
    <w:p>
      <w:r>
        <w:rPr>
          <w:b/>
        </w:rPr>
        <w:t>E. 4.1.1</w:t>
      </w:r>
    </w:p>
    <w:p>
      <w:r>
        <w:t>Ces dispositions, modifiées avec effet au 1er janvier 2017, sont applicables à la présente cause (art. 13cbis al. 1 Tit. fin. CC; Message du Conseil fédéral du 29 novembre 2013 concernant la révision du code civil suisse (Entretien de l'enfant), FF 2014 p. 511 ss, p. 570).</w:t>
      </w:r>
    </w:p>
    <w:p>
      <w:r>
        <w:rPr>
          <w:b/>
        </w:rPr>
        <w:t>E. 4.1.2</w:t>
      </w:r>
    </w:p>
    <w:p>
      <w:r>
        <w:t>L'art. 285 al. 1 CC définit les critères à prendre en compte pour calculer la contribution d'entretien que les parents doivent à l'enfant. Ces critères s'appuient toujours sur les besoins de l'enfant et sur la situation et les ressources de ses père et mère (Message, p. 556). Les allocations familiales font partie des revenus de l'enfant et doivent être payées en sus de la contribution d'entretien lorsqu'elles sont versées à la personne tenue de pourvoir à l'entretien de l'enfant (art. 285a al. 1 CC). S'agissant de la méthode de calcul, les principes appliqués précédemment restent valables après l'introduction de la contribution de prise en charge le 1er janvier 2017. La disposition susvisée laisse aux juges la marge d'appréciation requise</w:t>
      </w:r>
    </w:p>
    <w:p>
      <w:r>
        <w:t>- 14/23 -</w:t>
      </w:r>
    </w:p>
    <w:p>
      <w:r>
        <w:t>C/11614/2015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se fait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de chaque parent, mais aussi par la possibilité de fournir une contribution sous la forme de soins et d'éducation (Message, p. 558; SPYCHER, op. cit., p. 3; STOUDMANN, op. cit., p. 429). La méthode du minimum vital avec participation à l'excédent peut continuer à servir de base pour la détermination des besoins d'un enfant dans un cas concret (SPYCHER, op. cit., p. 12 s; STOUDMANN, op. cit., p. 434).</w:t>
      </w:r>
    </w:p>
    <w:p>
      <w:r>
        <w:rPr>
          <w:b/>
        </w:rPr>
        <w:t>E. 4.1.3</w:t>
      </w:r>
    </w:p>
    <w:p>
      <w:r>
        <w:t>Les besoins de l'enfant mineur et la capacité contributive du débirentier sont déterminés en ajoutant à leurs montants de base admis par le droit des poursuites leurs charges incompressibles respectives (loyer, assurance maladie et si les moyens des parents le permettent et les besoins de l'enfant le justifient,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et durée, in SJ 2007 II, p. 84 ss et 101 ss). Selon le droit des poursuites,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l'année 2016 - NI-2016, RS-GE E3.60.04). La part de frais médicaux non couverte par l'assurance de base obligatoire peut être prise en compte dans les charges incompressibles des parties, si des frais effectifs réguliers à cet égard sont établis (BASTONS BULLETTI, op. cit., p. 86). Les frais de véhicule ne peuvent être pris en considération que si celui-ci est indispensable au débiteur personnellement ou nécessaire à l'exercice de sa profession (ATF 110 III 17 consid. 2b; arrêts du Tribunal fédéral 5A_65/2013 du</w:t>
      </w:r>
    </w:p>
    <w:p>
      <w:r>
        <w:rPr>
          <w:b/>
        </w:rPr>
        <w:t>E. 4.1.4</w:t>
      </w:r>
    </w:p>
    <w:p>
      <w:r>
        <w:t>S'agissant de l'obligation d'entretien d'un enfant mineur, ses père et mère doivent réellement épuiser leur capacité maximale de travail et ne peuvent pas librement choisir de modifier leurs conditions de vie si cela a une influence sur leur capacité à subvenir aux besoins de cet enfant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Seules les charges effectives, dont le débirentier ou le crédirentier s'acquitte réellement, doivent être prises en compte (ATF 140 III 337 consid. 4.2.3, 121 III</w:t>
      </w:r>
    </w:p>
    <w:p>
      <w:r>
        <w:t>- 16/23 -</w:t>
      </w:r>
    </w:p>
    <w:p>
      <w:r>
        <w:t>C/11614/2015 20 consid. 3a; arrêts du Tribunal fédéral 5A_65/2013 du 4 septembre 2013 consid. 3.2.1 et 5A_860/2011 du 11 juin 2012 consid. 2.1.). Le minimum vital strict du débirentier doit par ailleurs être préservé (ATF 137 III 59 consid. 4.2.1). Le juge dispose d'un large pouvoir d'appréciation (ATF 127 III 136 consid. 3a; arrêt du Tribunal fédéral 5A_330/2014 du 30 octobre 2014 consid. 4). 4.2.1 En l'espèce, l'appelant dit exercer depuis février 2015 une activité de coach indépendant lui ayant procuré un revenu mensuel moyen brut de 2'978 fr. en 2015. Il produit l'ensemble des factures qu'il allègue avoir adressées à ses clients privés en 2016, totalisant un revenu mensuel brut moyen de 3'116 fr., alors qu'il a déclaré fiscalement pour la même année, un revenu annuel brut de 32'441 fr. ou 2'703 fr. par mois. L'appelant ne produit par ailleurs pas ses relevés bancaires en appel, qui resteraient inutiles à ce stade, selon lui, car faisant état d'un revenu encore moindre, cela alors que le premier juge a expressément indiqué que l'absence de ces relevés était un indice que son salaire réel était plus élevé que celui allégué. L'appelant ne s'exprime pas non plus clairement en appel sur ses activités de coach sportif indépendant auprès des fitness F______ et G______ Sàrl, au regard desquelles le Tribunal a, en définitive, retenu que ledit appelant percevait des revenus mensuels identiques de 1'360 fr. de la part de chacune de ces sociétés. L'appelant dit également faire des recherches d'emploi mais rencontrer des difficultés à trouver une activité rémunérée. À cet égard, il a produit des justificatifs de ses recherches, tant devant le premier juge que devant la Cour. Il apparaît toutefois qu'elles ont été faites, respectivement, dans le délai imparti par le Tribunal pour les produire en mai 2016, et non pas dans les mois ayant précédé cette injonction, puis dans la période ayant suivi le dépôt de son présent appel, entre février et avril 2017. Seules deux réponses négatives figurent parmi ces justificatifs, cela sur une période de près d'une année, de sorte que lesdits justificatifs de ses démarches alléguées de recherches d'un emploi complémentaire à l'activité d'indépendant qu'il a choisi d'exercer ne sont pas suffisamment probants, quant à leur sérieux et à leur régularité. Il se justifie dès lors de lui imputer un revenu hypothétique au regard de son obligation d'entretien envers son fils aîné mineur. L'appelant possède une formation solide et une expérience de plusieurs années dans le domaine sportif, il est dans la force de l'âge, ses problèmes de santé ne</w:t>
      </w:r>
    </w:p>
    <w:p>
      <w:r>
        <w:t>- 17/23 -</w:t>
      </w:r>
    </w:p>
    <w:p>
      <w:r>
        <w:t>C/11614/2015 l'empêchent manifestement pas de continuer ses activités professionnelles et il est au bénéfice d'un permis d'établissement en Suisse. Il n'a par ailleurs ni allégué ni démontré de circonstances personnelles l'entravant dans ses recherches d'un emploi, de sorte qu'il peut être exigé de lui qu'il augmente son revenu, soit par un emploi salarié à plein temps, soit par une augmentation significative de son activité de coach sportif indépendant. À teneur du calculateur de salaire en ligne pour le canton de Genève (disponible sous https://www.bfs.admin.ch/; salarium 2014), un individu titulaire d'un permis C âgé de 43 ans, sans fonction de cadre, employé 40 heures par semaine comme entraîneur de fitness dans la région lémanique et au bénéfice d'une formation notamment acquise en entreprise, et a fortiori académique, peut prétendre à un salaire médian brut mensuel de 4'529 fr. dans une petite entreprise et à 4'954 fr. dans une entreprise plus importante. C'est dès lors à juste titre que le Tribunal a retenu que l'appelant pouvait générer par son activité professionnelle un revenu brut hypothétique mensuel de 4'700 fr. au lieu de son revenu de l'ordre de 3'000 fr. brut par mois allégué. 4.2.2 Au titre de ses charges, et à teneur des pièces de son dossier devant la Cour, il sera retenu que sa part effective de loyer est de 1'500 fr. par mois et sa prime d'assurance maladie augmentée à 311 fr. 95 en 2017. Il apparaît nécessaire qu'il puisse disposer de son véhicule privé pour l'acquisition de son revenu de coach sportif à domicile, de sorte que le montant de 120 fr. qu'il allègue au titre de ses frais de transport sera admis dans ses charges, à l'instar de ce qu'a décidé le premier juge. La Cour suivra également le raisonnement adopté par le Tribunal dans le jugement querellé JTPI/15673/2016 (consid. E. c.) pour arrêter ses impôts à 380 fr. par mois et ses cotisations sociales à 455 fr. par mois. Par conséquent, ses charges personnelles totalisent 4'017 fr., y compris son entretien de base OP en 850 fr. (soit la moitié du montant de base pour un couple, en 1'700 fr.), mais sans compter ses frais de de téléphone portable, inclus dans cet entretien de base ni ses frais d'assistance juridique, subsidiaires à son obligation d'entretien de l'enfant intimé. L'appelant dispose ainsi d'un solde mensuel de 683 fr. (4'700 fr. – 4'107 fr.). 4.2.3 Le revenu mensuel net de la mère de l'enfant, en 5'290 fr., n'est pas contesté. Ses charges personnelles sont composées de 1'724 fr. 80 de loyer (2'156 fr. moins 20% de la part au loyer de l'enfant B______), 360 fr. 70 de prime LAMal, 77 fr. 60 de frais LAMal non remboursés, 302 fr. 60 d'impôts, 70 fr. de frais de transports et 1'350 fr. au titre de son entretien de base OP (pour un adulte vivant seul avec un enfant).</w:t>
      </w:r>
    </w:p>
    <w:p>
      <w:r>
        <w:t>- 18/23 -</w:t>
      </w:r>
    </w:p>
    <w:p>
      <w:r>
        <w:t>C/11614/2015 En revanche, ses primes d'assurance-ménage et RC, mensualisées à hauteur de 29 fr. 60, sont déjà comprises dans cet entretien de base, de sorte qu'elles ne seront pas admises en sus, de même que sa prime d'assurance maladie complémentaire, ses frais de fitness et de vie courante et de loisirs, exclues de son minimum vital admissible ou déjà inclus dans son entretien de base OP. Par conséquent, les charges de la mère de l'enfant intimé totalisent devant la Cour 3'886 fr. (arrondis), soit un solde disponible de 1'404 fr. par mois (5'290 fr. − 3'886 fr.)</w:t>
      </w:r>
    </w:p>
    <w:p>
      <w:r>
        <w:t>4.2.4 Les charges de l'intimé se composent de 431 fr. 20 de participation au loyer de sa mère (20% de 2'156 fr.), 87 fr. 20 de prime LAMal, 29 fr. 20 de frais LAMal non remboursés, 43 fr. 50 de prime LCA, 88 fr. de frais médicaux non remboursés (les frais d'orthodontie étant déjà compris dans ce montant et n'ayant pas à être additionnés en plus), 52 fr. 50 de cantine scolaire, 23 fr. 90 de lunettes de vue (les frais de lunettes optiques sont réduits à 287 fr. par an, compte tenu de la contribution annuelle de l'assurance-maladie de base de 180 fr.), 75 fr. de frais de prise en charge de l'enfant par une tierce personne pendant ses vacances scolaires, 45 fr. d'abonnement TPG et 600 fr. d'entretien de base OP.</w:t>
      </w:r>
    </w:p>
    <w:p>
      <w:r>
        <w:t>Des dépenses supplémentaires, découlant notamment d'activités sportives ou de loisirs, seront en outre admises dans ses charges, tels que les coûts des camps d'été, ainsi que des cours de gymnastique et de hockey, avec le matériel nécessaire, qui totalisent 319 fr. mensualisés.</w:t>
      </w:r>
    </w:p>
    <w:p>
      <w:r>
        <w:t>Les charges totales nettes de l'enfant intimé, allocations familiales en 300 fr. déduites, sont dès lors de 1'494 fr. (arrondis).</w:t>
      </w:r>
    </w:p>
    <w:p>
      <w:r>
        <w:rPr>
          <w:b/>
        </w:rPr>
        <w:t>E. 4.3</w:t>
      </w:r>
    </w:p>
    <w:p>
      <w:r>
        <w:t>Il découle de l'ensemble de ce qui précède qu'avec son solde disponible mensuel de 683 fr. après couverture de ses propres charges, l'appelant est à même de verser une contribution à l'entretien de l'enfant intimé de 500 fr. par mois, ce qui lui laisse encore un montant de l'ordre de 183 fr. à disposition pour couvrir sa part d'entretien de son enfant nouveau-né, lequel a également droit à cet entretien.</w:t>
      </w:r>
    </w:p>
    <w:p>
      <w:r>
        <w:t>Par conséquent, le ch. 2 du dispositif du jugement JTPI/15673/2016 du 29 décembre 2016 sera annulé et l'appelant sera condamné à verser à l'enfant intimé la somme de 500 fr. jusqu'à sa majorité, voire au-delà en cas de formation sérieuse et régulière cela à compter du 8 janvier 2016, dies a quo non contesté par les parties. Il ressort en outre d'un commandement de payer, poursuite n° 1______, établi le 20 mars 2017 par l'Office des poursuites sur réquisition du SCARPA et produit par l'appelant que ce dernier a, à tout le moins, versé la somme totale de 1'400 fr. pour l'entretien de l'enfant B______ entre le 11 novembre 2015 et le 9 janvier 2017.</w:t>
      </w:r>
    </w:p>
    <w:p>
      <w:r>
        <w:t>- 19/23 -</w:t>
      </w:r>
    </w:p>
    <w:p>
      <w:r>
        <w:t>C/11614/2015 En appel, l'intimé a corroboré ce qui précède, en évoquant l'irrégularité pendant de nombreuses années du paiement par l'appelant de la contribution qui lui était due, circonstance qui avait obligé sa mère à augmenter son temps de travail pour obtenir un meilleur revenu.</w:t>
      </w:r>
    </w:p>
    <w:p>
      <w:r>
        <w:t>Il ressort dès lors de l'ensemble de ce qui précède que seule la somme de 1'400 fr. sera déduite des contributions d'entretien dues par l'appelant dès le 8 janvier 2016 à son fils mineur.</w:t>
      </w:r>
    </w:p>
    <w:p>
      <w:r>
        <w:rPr>
          <w:b/>
        </w:rPr>
        <w:t>E. 5</w:t>
      </w:r>
    </w:p>
    <w:p>
      <w:r>
        <w:t>5.1.1 La contribution d'entretien sert aussi à garantir la prise en charge de l'enfant par les parents et les tiers (art. 285 al. 2).</w:t>
      </w:r>
    </w:p>
    <w:p>
      <w:r>
        <w:t>Cette nouvelle disposition, entrée en vigueur le 1er janvier 2017, est applicable à la présente cause (art. 13cbis al. 1 Tit. fin. CC; Message, p. 570).</w:t>
      </w:r>
    </w:p>
    <w:p>
      <w:r>
        <w:t>5.1.2 Chaque enfant a droit à une prise en charge adéquate (Message, p. 556; SPYCHER, op. cit., p. 13). Si, pour le bien de l'enfant, sa prise en charge est assurée par l'un des parents (ou les deux), l'obligeant ainsi à réduire son activité professionnelle, la contribution de prise en charge doit permettre de garantir la présence de ce parent aux côtés de l'enfant. Cela nécessite de financer les frais de subsistance du parent qui s'occupe de l'enfant.</w:t>
      </w:r>
    </w:p>
    <w:p>
      <w:r>
        <w:t>La prise en charge de l'enfant ne donne droit à une contribution que si elle a lieu à un moment où le parent pourrait sinon exercer une activité rémunérée. La prise en charge de l'enfant pendant le temps libre (par ex. le weekend) ne donne ainsi en principe pas droit à une contribution (Message, p. 536 et 556; STOUDMANN, op. cit., p. 429 s.).</w:t>
      </w:r>
    </w:p>
    <w:p>
      <w:r>
        <w:t>5.1.3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w:t>
      </w:r>
    </w:p>
    <w:p>
      <w:r>
        <w:t>5.1.4 Si une prise en charge externe est mise en place, les coûts qui en découlent doivent être considérés comme des coûts directs et calculés comme tels (Message, p. 556; STOUDMANN, op. cit., p. 429).</w:t>
      </w:r>
    </w:p>
    <w:p>
      <w:r>
        <w:t>Si, en revanche, pour le bien de l'enfant, sa prise en charge est assurée par l'un des parents (ou les deux), l'obligeant ainsi à réduire son activité professionnelle, la contribution de prise en charge doit permettre de garantir sa présence aux côtés de</w:t>
      </w:r>
    </w:p>
    <w:p>
      <w:r>
        <w:t>- 20/23 -</w:t>
      </w:r>
    </w:p>
    <w:p>
      <w:r>
        <w:t>C/11614/2015 l'enfant. Cela nécessite de financer les frais de subsistance du parent qui s'occupe de l'enfant (Message, p. 556; STOUDMANN, op. cit., p. 429 s.).</w:t>
      </w:r>
    </w:p>
    <w:p>
      <w:r>
        <w:t>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w:t>
      </w:r>
    </w:p>
    <w:p>
      <w:r>
        <w:t>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rPr>
          <w:b/>
        </w:rPr>
        <w:t>E. 5.2</w:t>
      </w:r>
    </w:p>
    <w:p>
      <w:r>
        <w:t>En l'espèce, la mère de l'intimé n'a pas cessé de travailler pour s'occuper de son fils à la naissance de ce dernier et ses charges personnelles sont entièrement couvertes par ses revenus, qui lui laissent encore un solde disponible lui permettant largement de combler les carences d'entretien du père de l'enfant intimé.</w:t>
      </w:r>
    </w:p>
    <w:p>
      <w:r>
        <w:t>Il n'y a dès lors pas lieu d'attribuer à l'intimé une contribution supplémentaire de prise en charge.</w:t>
      </w:r>
    </w:p>
    <w:p>
      <w:r>
        <w:rPr>
          <w:b/>
        </w:rPr>
        <w:t>E. 6.1</w:t>
      </w:r>
    </w:p>
    <w:p>
      <w:r>
        <w:t>Si l'instance d'appel statue à nouveau, elle se prononce sur les frais de la première instance (art. 318 al. 3 CPC).</w:t>
      </w:r>
    </w:p>
    <w:p>
      <w:r>
        <w:rPr>
          <w:b/>
        </w:rPr>
        <w:t>E. 6.1.1</w:t>
      </w:r>
    </w:p>
    <w:p>
      <w:r>
        <w:t>Les frais judiciaires sont mis à la charge de la partie qui succombe dans ses conclusions (art. 95 et 106 1ère phrase CPC). L'art. 32 du Règlement fixant le tarif des frais judiciaires en matière civile (RTFMC) prévoit par ailleurs que l'émolument forfaitaire de conciliation oscille entre 100 et 200 fr. et l'émolument forfaitaire de décision, entre 300 et 2'000 fr.</w:t>
      </w:r>
    </w:p>
    <w:p>
      <w:r>
        <w:rPr>
          <w:b/>
        </w:rPr>
        <w:t>E. 6.1.2</w:t>
      </w:r>
    </w:p>
    <w:p>
      <w:r>
        <w:t>Le Tribunal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Il peut s'agir par exemple d'un rapport de forces financières très inégal entre les parties, ou du comportement de la partie qui obtient gain de cause, qui a donné lieu à l'introduction de l'action ou qui a occasionné des frais de procédure supplémentaires injustifiés.</w:t>
      </w:r>
    </w:p>
    <w:p>
      <w:r>
        <w:t>- 21/23 -</w:t>
      </w:r>
    </w:p>
    <w:p>
      <w:r>
        <w:t>C/11614/2015 En outre, l'art. 106 al. 2 CPC prévoit que lorsqu'aucune des parties n'obtient entièrement gain de cause, les frais sont répartis selon le sort de la cause.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w:t>
      </w:r>
    </w:p>
    <w:p>
      <w:r>
        <w:rPr>
          <w:b/>
        </w:rPr>
        <w:t>E. 6.2</w:t>
      </w:r>
    </w:p>
    <w:p>
      <w:r>
        <w:t>En l'espèce, le montant des frais judiciaires de première instance a été fixé à 900 fr. par le premier juge. Ils sont composés de 100 fr. d'émolument forfaitaire de conciliation et de 800 fr. d'émolument forfaitaire de décision, cela en conformité avec les dispositions légales applicables en la matière. Cela étant, aucune des parties n'ayant totalement gain de cause et eu égard à la nature du litige relevant du droit de la famille, il n'y a pas lieu de remettre en question la décision du premier juge de répartir les frais judiciaires de première instance à parts égales entre les parties et de laisser chacune d'elle supporter ses propres dépens. Le premier jugement sera donc intégralement confirmé s'agissant des frais et dépens de première instance.</w:t>
      </w:r>
    </w:p>
    <w:p>
      <w:r>
        <w:rPr>
          <w:b/>
        </w:rPr>
        <w:t>E. 6.3</w:t>
      </w:r>
    </w:p>
    <w:p>
      <w:r>
        <w:t>L'art. 35 RTFMC prévoit que l'émolument forfaitaire de décision est calculé selon les dispositions applicables aux procédures de première instance, en cas d'appel contre une décision finale.</w:t>
      </w:r>
    </w:p>
    <w:p>
      <w:r>
        <w:rPr>
          <w:b/>
        </w:rPr>
        <w:t>E. 6.4</w:t>
      </w:r>
    </w:p>
    <w:p>
      <w:r>
        <w:t>En l'espèce, les frais judiciaires d'appel seront fixés à 500 fr. Par identité de motifs avec la décision du premier juge à cet égard, ils seront mis à la charge de chacune des parties, à parts égales.</w:t>
      </w:r>
    </w:p>
    <w:p>
      <w:r>
        <w:t>S'agissant de l'appelant, qui plaide au bénéfice de l'assistance juridique, la somme de 250 fr. à ce titre sera dès lors provisoirement supportée par l'Etat de Genève, soit pour lui les Services financiers du Pouvoir judiciaire (art. 122 al. 1 let. b et 123 CPC; art. 19 du Règlement sur l'assistance juridique, RAJ - RS/GE E 2 05.04).</w:t>
      </w:r>
    </w:p>
    <w:p>
      <w:r>
        <w:t>L'enfant intimé, soit pour lui sa représentante, sera condamné, de son côté, à verser la même somme au titre de ces frais judiciaires aux Services financiers du Pouvoir judiciaire.</w:t>
      </w:r>
    </w:p>
    <w:p>
      <w:r>
        <w:t>Compte tenu de la nature familiale du litige, chacune des parties supportera ses propres dépens d'appel (art. 107 al. 1 let. c CPC). * * * * *</w:t>
      </w:r>
    </w:p>
    <w:p>
      <w:r>
        <w:t>- 22/23 -</w:t>
      </w:r>
    </w:p>
    <w:p>
      <w:r>
        <w:t>C/11614/2015 PAR CES MOTIFS, La Chambre civile : A la forme : Déclare recevable l'appel interjeté le 8 février 2017 par A______ contre le jugement JTPI/15673/2016 prononcé le 29 décembre 2016 par le Tribunal de première instance dans la cause C/11614/2015-4. Au fond : Annule les ch. 1 et 2 du dispositif de ce jugement. Cela fait, condamne A______ à verser en mains de C______, à titre de contribution à l'entretien de l'enfant B______, allocations familiales non comprises, par mois et d'avance dès le 8 janvier 2016, la somme de 500 fr. jusqu'à sa majorité, voire au-delà en cas de formation sérieuse et régulière, cela sous déduction des contributions d'entretien déjà versées à ce jour, totalisant 1'400 fr. Déboute les parties de toutes autres conclusions. Sur les frais : Confirme le jugement querellé s'agissant des ch. 4 et 5 de son dispositif. Arrête les frais judiciaires d'appel à 500 fr. Les met pour moitié chacun à la charge de A______ et de B______, soit pour lui, C______. Dit que la somme de 250 fr. à ce titre est provisoirement supportée par l'Etat de Genève, soit pour lui par les Services financiers du Pouvoir judiciaire, s'agissant de A______, qui plaide au bénéfice de l'assistance juridique. Condamne C______, représentante de l'enfant mineur B______, à verser la somme de 250 fr. à l'Etat de Genève, soit pour lui les les Services financiers du Pouvoir judiciaire, au titre de la part des frais judiciaires de l'enfant.</w:t>
      </w:r>
    </w:p>
    <w:p>
      <w:r>
        <w:t>- 23/23 -</w:t>
      </w:r>
    </w:p>
    <w:p>
      <w:r>
        <w:t>C/11614/2015 Dit que chacune des parties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