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ACJC/115/2019 vom 22. Januar 2019</w:t>
      </w:r>
    </w:p>
    <w:p>
      <w:r>
        <w:t>GE Cour de justice, 2019-01-22, FR</w:t>
      </w:r>
    </w:p>
    <w:p>
      <w:r>
        <w:rPr>
          <w:b/>
        </w:rPr>
        <w:t xml:space="preserve">Quelle: </w:t>
      </w:r>
      <w:r>
        <w:t>https://mcp.opencaselaw.ch/entscheid/ge_gerichte_ACJC_115_2019</w:t>
      </w:r>
    </w:p>
    <w:p>
      <w:r>
        <w:t>FR: GE_GERICHTE ACJC/115/2019 du 22 janvier 2019</w:t>
      </w:r>
    </w:p>
    <w:p>
      <w:r>
        <w:t>IT: GE_GERICHTE ACJC/115/2019 del 22 gennaio 2019</w:t>
      </w:r>
    </w:p>
    <w:p>
      <w:pPr>
        <w:pStyle w:val="Heading2"/>
      </w:pPr>
      <w:r>
        <w:t>Erwägungen</w:t>
      </w:r>
    </w:p>
    <w:p>
      <w:r>
        <w:rPr>
          <w:b/>
        </w:rPr>
        <w:t>E. 1</w:t>
      </w:r>
    </w:p>
    <w:p>
      <w:r>
        <w:t>L’appel est recevable pour avoir été interjeté auprès de l'autorité compétente (art. 120 al. 1 let. a LOJ), selon la forme prescrite par la loi (art. 130, 131 et 311CPC) et dans le délai utile de 10 jours (art. 142, 248 let. d et 314 al. 1 CPC), à l'encontre d'une décision sur mesures provisionnelles (art. 308 al. 1 let. b CPC) qui statue notamment sur les contributions à l'entretien des enfants et de l’ex- épouse, seuls points encore litigieux, soit sur une affaire patrimoniale dont la valeur litigieuse est, compte tenu des montants réclamés à ce titre, supérieure à 10'000 fr. (art. 91 al. 1, 92 et 308 al. 2 CPC).</w:t>
      </w:r>
    </w:p>
    <w:p>
      <w:r>
        <w:rPr>
          <w:b/>
        </w:rPr>
        <w:t>E. 2</w:t>
      </w:r>
    </w:p>
    <w:p>
      <w:r>
        <w:t>La Cour dispose d'un pouvoir d'examen complet (art. 310 CPC). Les mesures provisionnelles étant soumises à la procédure sommaire (art. 248 let. d CPC), la cognition de la Cour est toutefois limitée à la simple vraisemblance des faits et à un examen sommaire du droit, l'exigence de célérité étant privilégiée par rapport à celle de sécurité (ATF 127 III 414 consid. 2b/bb = JdT 2002 I 352; arrêts du Tribunal fédéral 5A_792/2016 du 23 janvier 2017 consid. 4.1 et 5A_937/2014 du 26 mai 2015 consid. 6.2.2). La présente cause est soumise aux maximes d'office et inquisitoire illimitée en tant qu'elle concerne les enfants mineurs des parties (art. 296 al. 1 et al. 3 CPC), de sorte que la Cour n'est pas liée par les conclusions des parties sur ce point (art. 296 al. 3 CPC). En revanche, la fixation de la contribution d'entretien du conjoint est soumise à la maxime de disposition (art. 58 CPC; ATF 129 III 417 consid. 2.1.2; arrêt du Tribunal fédéral 5A_421/2015 du 21 janvier 2016 consid. 6.2.3).</w:t>
      </w:r>
    </w:p>
    <w:p>
      <w:r>
        <w:rPr>
          <w:b/>
        </w:rPr>
        <w:t>E. 3</w:t>
      </w:r>
    </w:p>
    <w:p>
      <w:r>
        <w:t>En raison de la nationalité étrangère de l’intimée, le litige présente un élément d'extranéité. A juste titre, les parties ne contestent pas la compétence ratione loci des tribunaux genevois pour prononcer les mesures litigieuses, vu leur domicile et la résidence habituelle des enfants à Genève (art. 64 al. 1 et 62 al. 1 LDIP). Le droit suisse est applicable, compte tenu du domicile genevois des parties (art. 4 de la Convention de La Haye du 2 octobre 1973 sur la loi applicable aux obligations alimentaires [RS 0.211.213.01]); 62 al. 2 et 3, 82 al. 1, 83 al. 1 et 85 al. 1 LDIP).</w:t>
      </w:r>
    </w:p>
    <w:p>
      <w:r>
        <w:rPr>
          <w:b/>
        </w:rPr>
        <w:t>E. 4</w:t>
      </w:r>
    </w:p>
    <w:p>
      <w:r>
        <w:t>L’appelante a produit des pièces nouvelles en appel.</w:t>
      </w:r>
    </w:p>
    <w:p>
      <w:r>
        <w:t>- 6/11 -</w:t>
      </w:r>
    </w:p>
    <w:p>
      <w:r>
        <w:t>C/30157/2017</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 2.1). En l’espèce, les pièces nouvelles produites en appel sont recevables, dès lors qu'elles sont relatives à des éléments entrant en considération pour fixer la contribution due à l'entretien des enfants.</w:t>
      </w:r>
    </w:p>
    <w:p>
      <w:r>
        <w:rPr>
          <w:b/>
        </w:rPr>
        <w:t>E. 5</w:t>
      </w:r>
    </w:p>
    <w:p>
      <w:r>
        <w:t>5.1.1 Si la situation change notablement et durablement, tant la contribution d'entretien due à l'enfant, que celle due à l'ex-conjoint peuvent être modifiées ou supprimées (art. 286 al. 2 cum 134 al. 2 CC, respectivement 129 CC). La procédure de modification n'a pas pour but de corriger le premier jugement, mais de l'adapter aux circonstances nouvelles (ATF 131 III 189 consid. 2.7.4; arrêt du Tribunal fédéral 5A_332/2013 du 18 septembre 2013 consid. 3.1). Parmi celles-ci figurent la détérioration, depuis le jugement de divorce, de la situation financière du débirentier (ATF 134 III 337 consid. 2.2.2; arrêts du Tribunal fédéral 5A_66/2011 du 7 juin 2011 consid. 5.1 et 5A_326/2009 du 24 décembre 2009 consid. 2.1, paru in SJ 2010 I p. 538). Le moment déterminant pour apprécier si des circonstances nouvelles se sont produites est la date du dépôt de la demande de modification du jugement de divorce (ATF 137 III 604 précité consid. 4.1.1; 120 II 285 consid. 4b). 5.1.2 Selon l'article 284 al. 3 CPC, la procédure de divorce sur requête unilatérale s'applique par analogie à la procédure contentieuse de modification. A teneur de l'article 276 al. 1 CPC, le Tribunal ordonne les mesures provisionnelles nécessaires dans le cadre d'une procédure de divorce, les dispositions régissant la protection de l'union conjugale étant applicables par analogie. Après l'ouverture d'un procès en modification d'un jugement de divorce, le prononcé de mesures provisionnelles analogues à celles de l'art. 276 al. 1 CPC (cf. art. 284 al. 3 CPC) est soumis à des conditions restrictives (arrêts du Tribunal fédéral 5A_274/2016 du 26 août 2016 consid. 4.1 ; 5A_641/2015 du 3 mars 2016 consid. 4.1 et les références). En effet, dans la procédure de divorce, le jugement prend effet uniquement pour l'avenir, de sorte que la situation durant la procédure n'est réglée que par les mesures provisionnelles adoptées. En revanche, la décision dans une procédure de modification prend effet à partir de l'introduction de l'action. Il ne subsiste ainsi</w:t>
      </w:r>
    </w:p>
    <w:p>
      <w:r>
        <w:t>- 7/11 -</w:t>
      </w:r>
    </w:p>
    <w:p>
      <w:r>
        <w:t>C/30157/2017 aucune période dépourvue de réglementation : durant la procédure restent en vigueur les pensions fixées dans le jugement de divorce, raison pour laquelle les mesures provisionnelles doivent être adoptées avec une très grande prudence (arrêt du Tribunal fédéral 5A_902/2012 du 23 octobre 2013 consid. 1.3); elles constituent une mesure d'exécution anticipée, dont le sort définitif sera réglé dans le jugement de modification au fond (ATF 117 II 368 consid. 4c/bb). Une modification ne peut donc être ordonnée, à titre de mesures provisionnelles dans un procès subséquent, qu'en cas d'urgence et en présence de circonstances particulières (arrêts du Tribunal fédéral 5A_274/2016 du 26 août 2016 consid. 4.1 ; 5A_641/2015 précité consid. 4.1 et les références). Une situation de fait qui permet d'estimer avec une certaine fiabilité l'issue prévisible de la procédure constitue la condition impérative pour le prononcé de mesures provisionnelles dans le procès en modification (arrêt du Tribunal fédéral 5A.9/2007 du 20 avril 2007 consid. 2.2; 5P.101/2005 du 12 août 2005 consid. 3). La modification sur mesures provisionnelles peut se justifier à la rigueur lorsque le débiteur n'est plus en mesure de payer les contributions durant la procédure en modification sans subir de graves inconvénients et que la diminution ou la suppression de la contribution de l'autre partie peut déjà être exigée pendant la procédure (ATF 118 II 228 consid. 3b; arrêt du Tribunal fédéral 5P.101/2005 du 12 août 2005 consid. 3). On peut exiger du demandeur en modification du jugement de divorce qu'il attende l'issue du procès et, jusque-là, s'acquitte des prestations mises à sa charge par une décision exécutoire: les droits accordés par cette décision à la partie adverse doivent être protégés et prévaloir sur les siens (ATF 118 II 228 consid. 3b). Sur requête de mesures provisionnelles, tant en première instance qu'en appel, un changement notable et durable de situation du débiteur ou du créancier ne peut justifier une modification ou suppression, provisoire, de la contribution d'entretien fixée que s'il apparaît extraordinaire et suffisamment établi et appelle au surplus sa prise en considération urgente (ACJC/861/2014 du 11 juillet 2014 consid. 3.1 ; ACJC/1020/2014 du 29 août 2014 consid. 3.2). 5.1.3 En présence d'une situation financière modeste, les charges des parties se calculent en se fondant sur le minimum vital de base du droit des poursuites (art. 93 LP), élargi des dépenses incompressibles (ATF 110 III 17 consid. 2b; arrêts du Tribunal fédéral 5A_143/2017 du 20 février 2017 consid. 4.3; 5A_65/2013 du 4 septembre 2013 consid. 3.1.2). Dans une telle situation, les impôts courants et échus ainsi que les primes d'assurance-maladie complémentaire ne sont pas à prendre en considération dans le minimum vital du droit des poursuites du débirentier (ATF 127 III 68 consid. 2b; 127 III 289 consid. 2a/bb; 126 III 353 consid. 1a/aa, ATF 134 III 323 consid. 3).</w:t>
      </w:r>
    </w:p>
    <w:p>
      <w:r>
        <w:t>- 8/11 -</w:t>
      </w:r>
    </w:p>
    <w:p>
      <w:r>
        <w:t>C/30157/2017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w:t>
      </w:r>
    </w:p>
    <w:p>
      <w:r>
        <w:rPr>
          <w:b/>
        </w:rPr>
        <w:t>E. 5.2</w:t>
      </w:r>
    </w:p>
    <w:p>
      <w:r>
        <w:t>En l’espèce, la situation personnelle de l’intimé s’est modifiée depuis le prononcé du jugement de divorce, dès lors qu’il a perdu son emploi. Cela étant celui-ci ne fait état d'aucune autre circonstance qui pourrait revêtir le caractère particulier et urgent exigé par la jurisprudence, très restrictive, rappelée ci-dessus. L’intimé perçoit actuellement des indemnités journalières de 5'277 fr. par mois et il n’a produit aucun document rendant vraisemblable que ses revenus pourraient diminuer lors de la formation qu’il envisage. Ses charges admissibles s’élèvent à 3'071 fr. comprenant le loyer (1'424 fr.), la prime d’assurance-maladie de base (377 fr.), les frais de transport (70 fr.) et son entretien de base selon les normes OP (1'200 fr.). Au vu de la situation financière modeste des parties, il ne sera pas tenu compte de la prime d’assurance-maladie complémentaire, ni des acomptes d’impôts dans les charges de l’intimé, étant relevé, pour le surplus, qu’il n’a pas prouvé s’en acquitter, puisque le seul document produit à cet égard consiste dans l’établissement du solde de ses impôts 2016. Au vu de ce qui précède, l’intimé dispose d’un solde mensuel de plus de 2'200 fr. (5'277 fr. – 3'071 fr.) qui lui permet de s’acquitter, pendant la durée de la procédure en modification, des contributions fixées par le jugement de divorce en faveur de ses enfants et de son ex-épouse, qui totalisent actuellement 1'650 fr. (750 fr. + 700 fr. + 200 fr.). En définitive, la requête de mesures provisionnelles n'est pas fondée, de sorte que l'ordonnance attaquée sera annulée et l’intimé débouté de toutes ses conclusions sur mesures provisionnelles.</w:t>
      </w:r>
    </w:p>
    <w:p>
      <w:r>
        <w:rPr>
          <w:b/>
        </w:rPr>
        <w:t>E. 6.1</w:t>
      </w:r>
    </w:p>
    <w:p>
      <w:r>
        <w:t>Si l'instance d'appel statue à nouveau, elle se prononce sur les frais de la première instance (art. 318 al. 3 CPC). Dès lors que le Tribunal a réservé le sort des frais judiciaires de première instance et que cela n'est pas critiqué en appel, la décision entreprise sera confirmée sur ce point.</w:t>
      </w:r>
    </w:p>
    <w:p>
      <w:r>
        <w:rPr>
          <w:b/>
        </w:rPr>
        <w:t>E. 6.2</w:t>
      </w:r>
    </w:p>
    <w:p>
      <w:r>
        <w:t>Les frais judiciaires d'appel seront fixés à 800 fr. (art. 31 et 37 RTFMC) et mis à la charge de l’intimé qui succombe (art. 106 al. 1 CPC), de sorte que ce dernier sera condamné à verser à l'Etat de Genève, soit pour lui les Services financiers du Pouvoir judiciaire, la somme de 800 fr. à titre de frais judiciaires d'appel.</w:t>
      </w:r>
    </w:p>
    <w:p>
      <w:r>
        <w:t>- 9/11 -</w:t>
      </w:r>
    </w:p>
    <w:p>
      <w:r>
        <w:t>C/30157/2017 Compte tenu de la nature familiale du litige, chaque partie supportera ses propres dépens d'appel (art. 107 al. 1 let. c CPC).</w:t>
      </w:r>
    </w:p>
    <w:p>
      <w:r>
        <w:rPr>
          <w:b/>
        </w:rPr>
        <w:t>E. 7</w:t>
      </w:r>
    </w:p>
    <w:p>
      <w:r>
        <w:t>L'arrêt de la Cour, statuant sur mesures provisionnelles dans une procédure de modification d’un jugement de divorce, est susceptible d'un recours en matière civile, les moyens étant limités en application de l'art. 98 LTF (arrêt du Tribunal fédéral 5A_835/2018 du 9 octobre 2018 consid. 3). Vu les conclusions pécuniaires restées litigieuses devant la Cour, la valeur litigieuse au sens de la LTF est supérieure à 30'000 fr. (art. 51 al. 1 lit. a et al. 4 et 74 al. 1 let. b LTF). * * * * *</w:t>
      </w:r>
    </w:p>
    <w:p>
      <w:r>
        <w:t>- 10/11 -</w:t>
      </w:r>
    </w:p>
    <w:p>
      <w:r>
        <w:t>C/30157/2017 PAR CES MOTIFS, La Chambre civile : A la forme : Déclare recevable l'appel interjeté le 27 juillet 2018 par A______ contre l’ordonnance OTPI/457/2018 rendue le 16 juillet 2018 par le Tribunal de première instance dans la cause C/30157/2017-17. Au fond : Annule les chiffres 1 à 5 du dispositif de ladite ordonnance. Déboute B______ de sa requête de mesures provisionnelles tendant à modifier le jugement de divorce prononcé le 15 avril 2010. Confirme l'ordonnance entreprise pour le surplus. Déboute les parties de toutes autres conclusions. Sur les frais : Arrête les frais judiciaires d'appel à 800 fr. et les met à la charge de B______. Condamne B______ à verser à l'Etat de Genève, soit pour lui les Services financiers du Pouvoir judiciaire, la somme de 800 fr. à titre de frais judiciaires d'appel. Dit que chaque partie supporte ses propres dépens d'appel. Siégeant : Madame Ursula ZEHETBAUER GHAVAMI, présidente; Madame Sylvie DROIN et Monsieur Ivo BUETTI, juges; Madame Camille LESTEVEN, greffière. La présidente : Ursula ZEHETBAUER GHAVAMI</w:t>
      </w:r>
    </w:p>
    <w:p>
      <w:r>
        <w:t>La greffière : Camille LESTEVEN</w:t>
      </w:r>
    </w:p>
    <w:p>
      <w:r>
        <w:t>- 11/11 -</w:t>
      </w:r>
    </w:p>
    <w:p>
      <w:r>
        <w:t>C/30157/2017</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