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ACJC/115/2015 vom 22. September 2014</w:t>
      </w:r>
    </w:p>
    <w:p>
      <w:r>
        <w:t>GE Cour de justice, 2014-09-22, FR</w:t>
      </w:r>
    </w:p>
    <w:p>
      <w:r>
        <w:rPr>
          <w:b/>
        </w:rPr>
        <w:t xml:space="preserve">Quelle: </w:t>
      </w:r>
      <w:r>
        <w:t>https://mcp.opencaselaw.ch/entscheid/ge_gerichte_ACJC_115_2015</w:t>
      </w:r>
    </w:p>
    <w:p>
      <w:r>
        <w:t>FR: GE_GERICHTE ACJC/115/2015 du 22 septembre 2014</w:t>
      </w:r>
    </w:p>
    <w:p>
      <w:r>
        <w:t>IT: GE_GERICHTE ACJC/115/2015 del 22 settembre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2.1</w:t>
      </w:r>
    </w:p>
    <w:p>
      <w:r>
        <w:t>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w:t>
      </w:r>
    </w:p>
    <w:p>
      <w:r>
        <w:t>- 6/9 -</w:t>
      </w:r>
    </w:p>
    <w:p>
      <w:r>
        <w:t>C/3899/2014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w:t>
      </w:r>
    </w:p>
    <w:p>
      <w:r>
        <w:t>La reconnaissance de dette conditionnelle permet au créancier d'obtenir la mainlevée de l'opposition s'il prouve par titre que la condition est réalisée (arrêt du Tribunal fédéral 5A_83/2011 du 2 septembre 2011 consid. 5.1, publié in : SJ 2012 I p. 149).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Conformément à l'art. 82 al. 2 LP, le poursuivi peut faire échec à la mainlevée en rendant immédiatement vraisemblable sa libération (ATF 96 I 4 consid. 2 p. 8 s.). Le poursuivi peut se prévaloir de tous les moyens de droit civil - exceptions ou objections - qui infirment la reconnaissance de dette (ATF 131 III 268 consid. 3.2 p. 273) et il n'a pas à apporter la preuve absolue (ou stricte) de ses moyens libératoires, mais seulement à les rendre vraisemblables, en principe par titre (art. 254 al. 1 CPC; arrêt du Tribunal fédéral 5A_878/2011 du 5 mars 2012 consid. 2.2).</w:t>
      </w:r>
    </w:p>
    <w:p>
      <w:r>
        <w:rPr>
          <w:b/>
        </w:rPr>
        <w:t>E. 2.2</w:t>
      </w:r>
    </w:p>
    <w:p>
      <w:r>
        <w:t>En l'espèce, le recourant ne conteste à juste titre pas le fait que le courriel qu'il a contresigné le 21 mars 2012 constitue une reconnaissance de dette pour un montant de 150'000 fr., réduit par la suite à 125'000 fr., comme cela ressort du courriel de l'intimée du 2 mai 2012. Il fait cependant valoir que la commission de courtage devait être prise en charge par le vendeur, conformément à l'art. 6.8 du contrat de vente.</w:t>
      </w:r>
    </w:p>
    <w:p>
      <w:r>
        <w:t>- 7/9 -</w:t>
      </w:r>
    </w:p>
    <w:p>
      <w:r>
        <w:t>C/3899/2014 Ce faisant, il perd de vue que, comme l'a retenu à juste titre le premier juge, cette disposition ne concerne que les modalités de paiement de la commission de courtage due par le vendeur, mais n'exclut pas le versement par l'acheteur, hors la vue du notaire, d'un montant supplémentaire dû selon une convention séparée entre l'acheteur et le courtier. En effet, l'art. 6.8 du contrat de vente prévoit que le vendeur accepte expressément que le montant correspondant à la commission soit prélevé par le notaire sur la somme versée par l'acheteur, stipulation qui n'aurait aucun sens si la commission en question était celle due par l'acheteur. Ce qui précède est corroboré par le fait que le recourant a effectivement, deux semaines environ après la signature de l'acte de vente, versé un montant au titre de commission à l'intimée. Le projet d'acte de vente a été soumis à l'avocat du recourant de sorte que ses allégations, selon lesquelles il n'aurait pas compris le sens de l'art. 6.8 du contrat, ne sont pas vraisemblables. Au demeurant, cet élément est dénué de pertinence puisque cette disposition ne concerne pas la commission faisant l'objet de la poursuite litigieuse.</w:t>
      </w:r>
    </w:p>
    <w:p>
      <w:r>
        <w:rPr>
          <w:b/>
        </w:rPr>
        <w:t>E. 2.3</w:t>
      </w:r>
    </w:p>
    <w:p>
      <w:r>
        <w:t>Le recourant fait en outre grief au Tribunal d'avoir retenu qu'il ne s'était pas valablement acquitté de l'entier de sa dette par le versement de 125'000 fr. en mains de C______. Il produit à cet égard un document signé de ce dernier indiquant que celui-ci avait convenu avec l'intimée qu'il aurait droit à la moitié de la commission.</w:t>
      </w:r>
    </w:p>
    <w:p>
      <w:r>
        <w:rPr>
          <w:b/>
        </w:rPr>
        <w:t>E. 2.3.1</w:t>
      </w:r>
    </w:p>
    <w:p>
      <w:r>
        <w:t>Le témoignage et les documents écrits - "titres" - sont des moyens de preuve au sens des articles 168 al. 1 let. a et b et 177 CPC. Le témoignage doit en principe être recueilli oralement par le tribunal (art. 170 ss CPC). L'art. 190 al. 2 CPC prévoit cependant que le tribunal peut requérir des renseignements écrits de la part de personnes dont la comparution à titre de témoin ne semble pas nécessaire. Selon la doctrine, l'art. 190 al. 2 CPC ne s'oppose pas à la production spontanée par les parties de témoignages écrits émanant de personnes privées, ceux-ci ne pouvant cependant être qualifiés de renseignements écrits au sens de cette disposition. Les témoignages écrits constituent en principe des titres au sens de l'art. 177 CPC, lesquels sont soumis à la libre appréciation des preuves (JÄGER in Zeitschrift für Aktuelle Rechtsprechung kompakt (www.iusfocus.ch), 6/2012 n. 140). Les déclarations écrites des témoins ont une force probante réduite (VOUILLOZ, Le droit à la preuve dans le Code de procédure civile suisse (art. 150 à 193 CPC), in : Jusletter 27, Avril 2009, p. 17).</w:t>
      </w:r>
    </w:p>
    <w:p>
      <w:r>
        <w:rPr>
          <w:b/>
        </w:rPr>
        <w:t>E. 2.3.2</w:t>
      </w:r>
    </w:p>
    <w:p>
      <w:r>
        <w:t>En l'espèce, il convient de déterminer s'il est vraisemblable que C______ et l'intimée ont effectivement convenu de se partager par moitié la commission due par l'appelant. En effet, si C______ a été autorisé par l'intimée à conserver par</w:t>
      </w:r>
    </w:p>
    <w:p>
      <w:r>
        <w:t>- 8/9 -</w:t>
      </w:r>
    </w:p>
    <w:p>
      <w:r>
        <w:t>C/3899/2014 devers lui la moitié du montant remis par le recourant, ce dernier s'est valablement libéré en effectuant en ses mains le paiement de l'entier de la commission. Le seul élément fourni par le recourant à l'appui de sa thèse est le témoignage écrit de C______. Ce document, rédigé postérieurement à l'introduction de l'action, émanant d'une personne qui a agi dans la présente affaire en tant que mandataire du recourant, et dont la teneur n'est corroborée par aucun autre élément du dossier, ne suffit pas à rendre vraisemblable l'existence, contestée par l'intimée, d'un accord entre celle-ci et C______ selon lequel la commission de courtage devait être partagée entre les deux intéressés. Par conséquent, c'est à juste titre que le Tribunal a retenu que le recourant, qui n'a produit aucune quittance émanant de l'intimée, n'a rendu vraisemblable sa libération qu'à hauteur du montant reconnu par l'intimée, à savoir 75'000 fr. La mainlevée a par conséquent été prononcée à juste titre pour le solde, soit 50'000 fr.</w:t>
      </w:r>
    </w:p>
    <w:p>
      <w:r>
        <w:rPr>
          <w:b/>
        </w:rPr>
        <w:t>E. 2.4</w:t>
      </w:r>
    </w:p>
    <w:p>
      <w:r>
        <w:t>Le recours devra ainsi être rejeté.</w:t>
      </w:r>
    </w:p>
    <w:p>
      <w:r>
        <w:rPr>
          <w:b/>
        </w:rPr>
        <w:t>E. 3</w:t>
      </w:r>
    </w:p>
    <w:p>
      <w:r>
        <w:t>Le recourant, qui succombe, sera condamné aux frais du recours (art. 106 al. 1 CPC). Les frais judiciaires seront arrêtés à 750 fr. (art. 48 et 61 OELP) et compensés avec l'avance versée par le recourant, laquelle restera acquise à l'Etat de Genève. Un montant de 2'000 fr., TVA et débours inclus, sera en outre alloué à l'intimée à titre de dépens (art. 85, 89 et 90 RTFMC; art. 25 et 26 LaCC). * * * * *</w:t>
      </w:r>
    </w:p>
    <w:p>
      <w:r>
        <w:t>- 9/9 -</w:t>
      </w:r>
    </w:p>
    <w:p>
      <w:r>
        <w:t>C/3899/2014 PAR CES MOTIFS, La Chambre civile : A la forme : Déclare recevable le recours interjeté par A______ contre le jugement JTPI/11745/2014 rendu le 22 septembre 2014 par le Tribunal de première instance dans la cause C/3899/2014-10 SML. Au fond : Le rejette. Déboute les parties de toutes autres conclusions. Sur les frais : Arrête les frais judiciaires à 750 fr. Les met à charge de A______ et dit qu'ils sont entièrement compensés avec l'avance de frais fournie par ce dernier, laquelle reste acquise à l'Etat de Genève. Condamne A______ à verser à B______ 2'000 fr. à titre de dépens. Siégeant : Monsieur Laurent RIEBEN, président; Madame Sylvie DROIN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