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ACJC/1156/2014 vom 8. Februar 2007</w:t>
      </w:r>
    </w:p>
    <w:p>
      <w:r>
        <w:t>GE Cour de justice, 2007-02-08, FR</w:t>
      </w:r>
    </w:p>
    <w:p>
      <w:r>
        <w:rPr>
          <w:b/>
        </w:rPr>
        <w:t xml:space="preserve">Quelle: </w:t>
      </w:r>
      <w:r>
        <w:t>https://mcp.opencaselaw.ch/entscheid/ge_gerichte_ACJC_1156_2014</w:t>
      </w:r>
    </w:p>
    <w:p>
      <w:r>
        <w:t>FR: GE_GERICHTE ACJC/1156/2014 du 8 février 2007</w:t>
      </w:r>
    </w:p>
    <w:p>
      <w:r>
        <w:t>IT: GE_GERICHTE ACJC/1156/2014 del 8 febbraio 2007</w:t>
      </w:r>
    </w:p>
    <w:p>
      <w:pPr>
        <w:pStyle w:val="Heading2"/>
      </w:pPr>
      <w:r>
        <w:t>Erwägungen</w:t>
      </w:r>
    </w:p>
    <w:p>
      <w:r>
        <w:rPr>
          <w:b/>
        </w:rPr>
        <w:t>E. 1.1</w:t>
      </w:r>
    </w:p>
    <w:p>
      <w:r>
        <w:t>Il n'y a pas lieu de revenir sur la recevabilité de l'appel, dirigé tant contre la décision finale que contre le refus (implicite) des mesures provisionnelles, laquelle a été admise par la Cour et qui n'a pas été critiquée devant le Tribunal fédéral.</w:t>
      </w:r>
    </w:p>
    <w:p>
      <w:r>
        <w:t>- 6/9 -</w:t>
      </w:r>
    </w:p>
    <w:p>
      <w:r>
        <w:t>C/381/2013</w:t>
      </w:r>
    </w:p>
    <w:p>
      <w:r>
        <w:rPr>
          <w:b/>
        </w:rPr>
        <w:t>E. 1.2</w:t>
      </w:r>
    </w:p>
    <w:p>
      <w:r>
        <w:t>Il en va de même de la recevabilité des pièces nouvelles déposées par l'appelant devant la Cour, toutes en rapport avec la fixation de la contribution d'entretien litigieuse.</w:t>
      </w:r>
    </w:p>
    <w:p>
      <w:r>
        <w:rPr>
          <w:b/>
        </w:rPr>
        <w:t>E. 1.3</w:t>
      </w:r>
    </w:p>
    <w:p>
      <w:r>
        <w:t>Il n'est pas nécessaire d'inviter les parties à se déterminer à la suite de l'arrêt de renvoi du Tribunal fédéral, dans la mesure où la Cour n'abordera ci-après que la question de savoir si le chômage de l'appelant constitue un fait nouveau durable ou temporaire. Sur ce point, les parties ont fourni tous leurs arguments, de sorte que leur droit d'être entendues est respecté.</w:t>
      </w:r>
    </w:p>
    <w:p>
      <w:r>
        <w:rPr>
          <w:b/>
        </w:rPr>
        <w:t>E. 2.1</w:t>
      </w:r>
    </w:p>
    <w:p>
      <w:r>
        <w:t>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arrêt 5A_251/2008 consid. 2 = RSPC 2009 p. 193; ATF 131 III 91 consid. 5.2; arrêt 5P.425/2002 consid. 2.1; 6S.683/2001 consid. 2; ATF 111 II 94 consid. 2; DONZALLAZ, Loi sur le Tribunal fédéral, Commentaire, 2008, n. 1695 et 1697).</w:t>
      </w:r>
    </w:p>
    <w:p>
      <w:r>
        <w:rPr>
          <w:b/>
        </w:rPr>
        <w:t>E. 2.2</w:t>
      </w:r>
    </w:p>
    <w:p>
      <w:r>
        <w:t>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w:t>
      </w:r>
    </w:p>
    <w:p>
      <w:r>
        <w:t>- 7/9 -</w:t>
      </w:r>
    </w:p>
    <w:p>
      <w:r>
        <w:t>C/381/2013</w:t>
      </w:r>
    </w:p>
    <w:p>
      <w:r>
        <w:t>Selon la jurisprudence, une période de chômage supérieure à quatre mois ne peut plus être considérée comme étant de courte durée; dans une telle situation, il convient en principe de tenir compte des indemnités de chômage effectivement perçues (arrêt 5P.445/2004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du Tribunal fédéral 5A_217/2009 du 30 octobre 2009 consid. 3.2).</w:t>
      </w:r>
    </w:p>
    <w:p>
      <w:r>
        <w:t>Une période de chômage qui s'est étendue sur une année et qui a induit une réduction de 16% des revenus du recourant par rapport à ce qu'il percevait au moment du divorce constitue un changement durable de circonstances (arrêts du Tribunal fédéral 5A_352/2010 du 29 octobre 2010 consid. 4.3, 5A_217/2009 du 30 octobre 2009 consid. 3.2.1).</w:t>
      </w:r>
    </w:p>
    <w:p>
      <w:r>
        <w:rPr>
          <w:b/>
        </w:rPr>
        <w:t>E. 2.3</w:t>
      </w:r>
    </w:p>
    <w:p>
      <w:r>
        <w:t>Le Tribunal fédéral a considéré qu'en l'espèce la durée du chômage de l'appelant constitue un fait nouveau dont il peut se prévaloir. La Cour doit examiner l'ensemble des circonstances, pour déterminer si la situation de chômage de l'appelant constitue un fait important et durable qui commande une réglementation différente de la contribution qu'il doit à l'entretien de son fils C______.</w:t>
      </w:r>
    </w:p>
    <w:p>
      <w:r>
        <w:t>Il ressort des pièces produites en appel que dès septembre 2012 le recourant s'est trouvé sans emploi pendant douze mois. Lorsque, en janvier 2013, il a saisi le Tribunal de la demande en modification du jugement de divorce, il avait déjà subi une période d'inoccupation de plus de quatre mois. S'il est exact que, dans de nombreuses situations, le chômage constitue un état passager qui ne justifie en principe pas une modification du jugement de divorce, tel n'est cependant pas le cas en l'espèce. La période de chômage s'est étendue sur au moins une année, durée qu'il convient de prendre entièrement en considération, indépendamment de la date de saisine du juge de la modification (arrêt du Tribunal fédéral 5A_217/2009 du 30 octobre 2009 précité consid. 3.2.1) et a finalement induit une réduction d'environ 20 % des revenus de l'appelant par rapport à ceux qu'il percevait au moment de la modification du jugement de divorce intervenue en août 2012 (revenu mensuel net retenu par le Tribunal dans le jugement du 13 août 2012: 8'690 fr., comparé à la moyenne des indemnités de chômage nettes, allocations pour enfants déduites, perçues de septembre 2012 à août 2013: 6'807 fr.). Dans ces conditions, il faut admettre que le chômage du recourant constitue un changement important et durable des circonstances qui commande d'entrer en matière sur l'action en modification du jugement de divorce introduite par l'appelant et d'examiner si la contribution qu'il doit à l'entretien de son fils C______ doit être réduite ou supprimée.</w:t>
      </w:r>
    </w:p>
    <w:p>
      <w:r>
        <w:t>- 8/9 -</w:t>
      </w:r>
    </w:p>
    <w:p>
      <w:r>
        <w:t>C/381/2013</w:t>
      </w:r>
    </w:p>
    <w:p>
      <w:r>
        <w:rPr>
          <w:b/>
        </w:rPr>
        <w:t>E. 2.4</w:t>
      </w:r>
    </w:p>
    <w:p>
      <w:r>
        <w:t>Reste à déterminer si le complément d'instruction nécessaire doit être administré par la Cour ou par le juge de première instance. L'instance d'appel peut renvoyer à la première instance les cas dans lesquels l'état de fait doit être complété sur des points essentiels (art. 318 al. 1 let. c ch. 2 CPC). Conformément à sa pratique (ACJC/1223/2012 du 31 août 2012), nonobstant les maximes d'office et inquisitoire illimitée applicables à la présente procédure (art. 296 CPC), et compte tenu de l'importance de la problématique restant à élucider, ainsi que du principe du double degré de juridiction (art. 75 al. 2 LTF; JEANDIN, Code de procédure civile commenté, BOHNET/HALDY/JEANDIN/ SCHWEIZER/TAPPY [éd.], 2011, n. 8 ad introduction aux art. 308-334), la Cour, après annulation du jugement entrepris, renverra la cause au Tribunal pour instruction et nouvelle décision, sur mesures provisionnelles et sur le fond.</w:t>
      </w:r>
    </w:p>
    <w:p>
      <w:r>
        <w:rPr>
          <w:b/>
        </w:rPr>
        <w:t>E. 3</w:t>
      </w:r>
    </w:p>
    <w:p>
      <w:r>
        <w:t>Les frais judiciaires d'appel seront arrêtés à 800 fr. (art. 30, 31 et 35 du Règlement fixant le tarif des frais en matière civile, RTFMC - E 1 05.10), entièrement couverts par l'avance de frais opérée par l'appelant, qui reste acquise à l'Etat (art. 111 al. 1 CPC).</w:t>
      </w:r>
    </w:p>
    <w:p>
      <w:r>
        <w:t>L'issue du litige étant incertaine, la répartition des frais judiciaires de la procédure d'appel sera déléguée à la juridiction précédente conformément à l'art. 104 al. 4 CPC.</w:t>
      </w:r>
    </w:p>
    <w:p>
      <w:r>
        <w:t>S'agissant d'un litige qui relève du droit de la famille, chaque partie conservera ses propres dépens d'appel à sa charge (art. 107 al. 1 let. c CPC).</w:t>
      </w:r>
    </w:p>
    <w:p>
      <w:r>
        <w:t>Aucune disposition légale ne permet de mettre à la charge de l'Etat de Genève les frais judiciaires fixés par le Tribunal fédéral, ni les autres frais dont l'intimée réclame le remboursement dans son courrier du 31 juillet 2014. * * * * *</w:t>
      </w:r>
    </w:p>
    <w:p>
      <w:r>
        <w:t>- 9/9 -</w:t>
      </w:r>
    </w:p>
    <w:p>
      <w:r>
        <w:t>C/381/2013 PAR CES MOTIFS, La Chambre civile : Statuant sur renvoi de la cause par le Tribunal fédéral : Annule le jugement JTPI/8006/2013 rendu le 7 juin 2013 par le Tribunal de première instance dans la cause C/381/2013-2. Renvoie la cause au Tribunal pour instruction et nouvelle décision dans le sens des considérants. Sur les frais : Arrête les frais judiciaires d'appel à 800 fr., compensés par l'avance de frais fournie par A______, qui reste acquise à l'Etat. Dit que chaque partie supporte ses propres dépens d'appel. Délègue la répartition des frais judiciaires d'appel au Tribunal de première instance.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