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ACJC/1155/2025 vom 2. September 2025</w:t>
      </w:r>
    </w:p>
    <w:p>
      <w:r>
        <w:t>GE Cour de justice, 2025-09-02, FR</w:t>
      </w:r>
    </w:p>
    <w:p>
      <w:r>
        <w:rPr>
          <w:b/>
        </w:rPr>
        <w:t xml:space="preserve">Quelle: </w:t>
      </w:r>
      <w:r>
        <w:t>https://mcp.opencaselaw.ch/entscheid/ge_gerichte_ACJC_1155_2025</w:t>
      </w:r>
    </w:p>
    <w:p>
      <w:r>
        <w:t>FR: GE_GERICHTE ACJC/1155/2025 du 2 septembre 2025</w:t>
      </w:r>
    </w:p>
    <w:p>
      <w:r>
        <w:t>IT: GE_GERICHTE ACJC/1155/2025 del 2 settembre 2025</w:t>
      </w:r>
    </w:p>
    <w:p>
      <w:pPr>
        <w:pStyle w:val="Heading2"/>
      </w:pPr>
      <w:r>
        <w:t>Erwägungen</w:t>
      </w:r>
    </w:p>
    <w:p>
      <w:r>
        <w:rPr>
          <w:b/>
        </w:rPr>
        <w:t>E. 1</w:t>
      </w:r>
    </w:p>
    <w:p>
      <w:r>
        <w:t>Conformément au principe de l'autorité de l'arrêt de renvoi, l'autorité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143 IV 214 consid. 5.2.1; arrêts du Tribunal fédéral 5A_392/2021 du 20 juillet 2021, consid. 2.1, 4A_337/2019 du 18 décembre 2019 consid. 4.1). Elle peut tenir compte de faits et moyens de preuve nouveaux pour autant qu'ils remplissent les conditions de l'art. 317 al. 1 CPC, mais uniquement sur les points qui ont fait l'objet du renvoi, qui ne peuvent être ni étendus, ni fixés sur une base juridique nouvelle (ATF 148 I 127 consid. 3.1; 143 IV 214 consid. 5.2.1; 135 III 334 consid. 2; arrêt du Tribunal fédéral 5A_136/2024 du 12 juin 2025 consid. 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t>- 7/12 -</w:t>
      </w:r>
    </w:p>
    <w:p>
      <w:r>
        <w:t>C/11199/2021 La portée de l'arrêt de renvoi lie également le juge, qui ne saurait se fonder sur des motifs que le Tribunal fédéral avait écarté ou qu'il n'avait pas à examiner faute pour les parties de les avoir invoqués dans la précédente procédure de recours; la portée de l'arrêt de renvoi dépend donc du contenu de cet arrêt en relation avec les mémoires de recours et de réponse qui avaient été déposés: le procès civil doit parvenir un jour à sa fin et les parties doivent soulever tous les griefs qu'elles souhaitent voir traités de façon que le Tribunal fédéral soit en mesure de rendre une décision qui termine le litige (ATF 135 III 334 consid. 2; 133 III 201 consid. 4.2; arrêt du Tribunal fédéral 4A_337/2019 du 18 décembre 2019 consid. 4.2). L'annulation de la décision cantonale et le renvoi de la cause pour nouvelle décision ont pour effet de reporter la procédure au stade où elle se trouvait immédiatement avant que l'instance d'appel ne se soit prononcée; celle-ci de se trouve pas saisie d'une nouvelle procédure, mais reprend la procédure qui n'est pas close (arrêt du Tribunal fédéral 4A_337/2019 du 18 décembre 2019, consid. 4.1.2).</w:t>
      </w:r>
    </w:p>
    <w:p>
      <w:r>
        <w:rPr>
          <w:b/>
        </w:rPr>
        <w:t>E. 2</w:t>
      </w:r>
    </w:p>
    <w:p>
      <w:r>
        <w:t>Il est précisé que la composition qui rend le présent arrêt est différente de celle ayant rendu l'arrêt qui a été partiellement annulé par le Tribunal fédéral en raison du départ de la Cour civile du juge E______.</w:t>
      </w:r>
    </w:p>
    <w:p>
      <w:r>
        <w:rPr>
          <w:b/>
        </w:rPr>
        <w:t>E. 3</w:t>
      </w:r>
    </w:p>
    <w:p>
      <w:r>
        <w:t>Les parties produisent des pièces nouvelles et les appelants sollicitent la production de pièces par l'intimé aux fins d'actualiser ses revenus. Les pièces produites par les parties à l'appui de leurs déterminations à la suite de l'arrêt du Tribunal fédéral prononcé le 3 février 2025 en lien avec le logement occupé par l'appelante et les enfants et leurs charges fiscales, simulations fiscales et rappels d'impôts pour les années 2021 à 2023 ne portent pas sur les éléments faisant l'objet du renvoi, puisque l'établissement des charges des parents retenu par la Cour dans sa précédente décision n'a pas été remise en cause par le Tribunal fédéral. Il n'en sera pas tenu compte. Il ne sera par ailleurs pas donné suite à la requête des appelants tendant à la production de pièces par l'intimé, qui excède le cadre du renvoi de la cause par le Tribunal, puisque l'établissement des faits effectué par la Cour en lien avec les revenus de l'intimé n'a pas été remis en cause et que seule la décision de retenir une prévisible augmentation desdits revenus pour fixer des paliers d'augmentation des contributions a été renvoyée à la Cour. La procédure sera ainsi reprise au stade du prononcé de la précédente décision rendue le 12 décembre 2023 pour rendre une nouvelle décision au sens des considérants de l'arrêt du Tribunal fédéral.</w:t>
      </w:r>
    </w:p>
    <w:p>
      <w:r>
        <w:rPr>
          <w:b/>
        </w:rPr>
        <w:t>E. 4</w:t>
      </w:r>
    </w:p>
    <w:p>
      <w:r>
        <w:t>Dans la mesure où le Tribunal fédéral a rejeté le recours de l'intimé dirigé contre l'attribution de la garde exclusive à la mère et la réglementation du droit de visite réservé au père, il n'y a pas lieu d'entrer en matière sur les conclusions de l'intimé</w:t>
      </w:r>
    </w:p>
    <w:p>
      <w:r>
        <w:t>- 8/12 -</w:t>
      </w:r>
    </w:p>
    <w:p>
      <w:r>
        <w:t>C/11199/2021 tendant à l'instauration de la garde alternée sur les enfants, à la fixation du domicile de ceux-ci chez leur mère, à la levée de la curatelle d'organisation et de surveillance de relations personnelles et à l'attribution des bonifications pour taches éducatives, qui excèdent le cadre du renvoi de la cause à la Cour.</w:t>
      </w:r>
    </w:p>
    <w:p>
      <w:r>
        <w:rPr>
          <w:b/>
        </w:rPr>
        <w:t>E. 5.1</w:t>
      </w:r>
    </w:p>
    <w:p>
      <w:r>
        <w:t>La cause a été renvoyée à la Chambre civile pour qu'elle statue à nouveau sur la contribution du père à l'entretien des enfants après leurs dix, respectivement 15 ans, soit en l'occurrence pour la période postérieure au ______ juin 2025 pour A______, née le ______ 2015, et pour la période postérieure au ______ novembre 2027 pour C______, né le ______ 2017. Il ne sera donc pas revenu sur la contribution à l'entretien de A______ fixée à 1'080 fr. entre mai et décembre 2021, à 900 fr. entre janvier et août 2022 et à 1'080 fr. de septembre 2022 au ______ juin 2025, ni sur celle fixée pour l'entretien de C______ à 1'900 fr. entre mai et décembre 2021, à 1'790 fr. entre janvier et août 2022, à 1'050 fr. entre septembre à décembre 2022 et à 1'060 fr. de janvier 2023 jusqu'au ______ novembre 2027, qui ont été définitivement tranchées.</w:t>
      </w:r>
    </w:p>
    <w:p>
      <w:r>
        <w:rPr>
          <w:b/>
        </w:rPr>
        <w:t>E. 5.2</w:t>
      </w:r>
    </w:p>
    <w:p>
      <w:r>
        <w:t>Conformément à l'arrêt de renvoi du Tribunal fédéral, il y a lieu de statuer à nouveau sur les paliers d'augmentation des contributions d'entretien sans se fonder sur une augmentation prévisible des revenus de l'intimé, puisque les perspectives salariales ne sont pas connues, ni sur une augmentation de son taux d'activité à brève échéance puisque la réduction de son taux d'activité avait été admise au regard de sa plus grande disponibilité pour les enfants.</w:t>
      </w:r>
    </w:p>
    <w:p>
      <w:r>
        <w:t>Il se justifie en conséquence d'examiner à nouveau la quotité de la contribution de l'intimé à l'entretien de ses enfants au regard de l'augmentation de leurs besoins déterminant les paliers fixés et de l'incidence de cette augmentation sur l'excédent de l'intimé.</w:t>
      </w:r>
    </w:p>
    <w:p>
      <w:r>
        <w:rPr>
          <w:b/>
        </w:rPr>
        <w:t>E. 5.3</w:t>
      </w:r>
    </w:p>
    <w:p>
      <w:r>
        <w:t>Dans sa précédente décision, la Cour a retenu que le minimum vital selon le droit de la famille de A______ s'élevait à 852 fr. à compter de 2023, comprenant la part de loyer de sa mère (341 fr. 35), la prime d'assurance-maladie LAMal et LCA (155 fr. 05), les frais médicaux non remboursés (36 fr. 25), les frais de restaurant scolaire (64 fr.) et de parascolaire (66 fr.), les impôts (100 fr.) et le montant de base (400 fr.), allocations familiales déduites (311 fr.), et que ses besoins augmenteraient de 200 fr. à ses dix ans, soit le ______ juin 2025, puis de 100 fr. à compter de ses quinze ans le ______ juin 2030. En ce qui concerne C______, son minimum vital a été retenu à raison de 831 fr. dès 2023, comprenant la part de loyer de sa mère (341 fr. 35), la prime d'assurance-maladie LAMal et LCA (138 fr. 90), les frais médicaux non remboursés (31 fr. 15), les frais de restaurant scolaire et de parascolaire (64 fr. et 66 fr.), les impôts (100 fr.) et le montant de base (400 fr.), allocations familiales</w:t>
      </w:r>
    </w:p>
    <w:p>
      <w:r>
        <w:t>- 9/12 -</w:t>
      </w:r>
    </w:p>
    <w:p>
      <w:r>
        <w:t>C/11199/2021 déduites (311 fr.), ses besoins augmentant de 200 fr. à compter de ses dix ans, soit dès le ______ novembre 2027 (montant de base OP de 600 fr.), puis de 100 fr. à ses quinze ans le ______ novembre 2032.</w:t>
      </w:r>
    </w:p>
    <w:p>
      <w:r>
        <w:rPr>
          <w:b/>
        </w:rPr>
        <w:t>E. 5.4</w:t>
      </w:r>
    </w:p>
    <w:p>
      <w:r>
        <w:t>Ces besoins financiers doivent être intégralement assumés par l'intimé, puisque la mère assure l'entretien des enfants en nature, comme cela a déjà été définitivement tranché.</w:t>
      </w:r>
    </w:p>
    <w:p>
      <w:r>
        <w:rPr>
          <w:b/>
        </w:rPr>
        <w:t>E. 5.5</w:t>
      </w:r>
    </w:p>
    <w:p>
      <w:r>
        <w:t>Les revenus de l'intimé se montaient à 10'140 fr. jusqu'à fin février 2022 puis à 9'000 fr. (intéressement, bonus et heures de piquet inclus) par la suite, sa décision de diminuer son taux d'activité à 80% à compter du 1er mars 2022 n'étant pas critiquable puisqu'il avait fait ce choix pour se rendre plus disponible pour ses enfants, notamment le mercredi, et que ses revenus lui permettaient de couvrir le minimum vital du droit de la famille des enfants. Il bénéficie ainsi d'un disponible de 2'589 fr. après couverture de ses charges, retenues à hauteur de 6'411 fr. à compter de janvier 2023.</w:t>
      </w:r>
    </w:p>
    <w:p>
      <w:r>
        <w:rPr>
          <w:b/>
        </w:rPr>
        <w:t>E. 5.6</w:t>
      </w:r>
    </w:p>
    <w:p>
      <w:r>
        <w:t>Au regard de l'augmentation des besoins des mineurs à leurs dix ans, respectivement quinze ans et de l'incidence de ces augmentations sur l'excédent de l'intimé, il y a lieu de distinguer les périodes suivantes : du ______ juin 2025 au ______ novembre 2027, du ______ novembre 2027 au ______ juin 2030, du ______ juin 2030 au ______ novembre 2032 et la période postérieure au ______ novembre 2032.</w:t>
      </w:r>
    </w:p>
    <w:p>
      <w:r>
        <w:t>Du ______ juin 2025 au ______ novembre 2027, les besoins de A______ seront de 1'052 fr. et ceux de C______ s'élèveront à 831 fr. L'intimé bénéficiera ainsi d'un excédent de 706 fr. après s'être acquitté des minima vitaux de ses enfants (2'589 fr. – 1'052 fr. – 831 fr.). Dans la mesure où la mineure peut prétendre à un quart de l'excédent de son père, il y a lieu de fixer la contribution à son entretien à 1'230 fr. (1'052 fr. + 175 fr.).</w:t>
      </w:r>
    </w:p>
    <w:p>
      <w:r>
        <w:t>Du ______ novembre 2027 au ______ juin 2030, les besoins des enfants se monteront à 1'052 fr. et 1'031 fr., de sorte que l'intimé bénéficiera d'un disponible de 506 fr. après couverture leurs minima vitaux (2'589 fr. – 1'052 fr. – 1'031 fr.). Chacun des enfants pouvant prétendre à une part d'un quart de l'excédent de leur père, soit 125 fr., la contribution à leur entretien sera arrêtée à 1'180 fr. pour A______ et à 1'160 fr. pour C______.</w:t>
      </w:r>
    </w:p>
    <w:p>
      <w:r>
        <w:t>Du ______ juin 2030 au ______ novembre 2032, l'intimé disposera d'un excédent de 406 fr. après s'être acquitté des besoins des enfants s'élevant à 1'152 fr. et 1'031 fr., de sorte que la participation des enfants à l'excédent de leur père se montera à 100 fr. Les contributions d'entretien seront dès lors fixées à 1'260 fr. pour A______ et à 1'140 fr. pour C______.</w:t>
      </w:r>
    </w:p>
    <w:p>
      <w:r>
        <w:t>- 10/12 -</w:t>
      </w:r>
    </w:p>
    <w:p>
      <w:r>
        <w:t>C/11199/2021</w:t>
      </w:r>
    </w:p>
    <w:p>
      <w:r>
        <w:t>A compter du ______ novembre 2032, les besoins des enfants seront de 1'152 fr. pour A______ et de 1'131 fr. pour C______, de sorte que l'intimé disposera d'un excédent de 306 fr. après couverture des charges des enfants. Ces derniers ayant droit à un montant de 75 fr. au titre de participation à l'excédent de leur père, la contribution de celui à leur entretien sera fixée à 1'230 fr. pour A______ et à 1'210 fr. pour C______. En définitive, l'intimé sera condamné à contribuer mensuellement à l'entretien de A______ à hauteur de 1'230 fr. du ______ juin 2025 au ______ novembre 2027, de 1'180 fr. du ______ novembre 2027 au ______ juin 2030, de 1'260 fr. du ______ juin 2030 au ______ novembre 2032 puis de 1'230 fr. à compter du ______ novembre 2032, ainsi qu'à l'entretien de C______ à raison de 1'160 fr. du ______ novembre 2027 au ______ juin 2030, de 1'140 fr. du ______ juin 2030 au ______ novembre 2032 et de 1'210 fr. à compter du ______ novembre 2032.</w:t>
      </w:r>
    </w:p>
    <w:p>
      <w:r>
        <w:rPr>
          <w:b/>
        </w:rPr>
        <w:t>E. 6</w:t>
      </w:r>
    </w:p>
    <w:p>
      <w:r>
        <w:t>Il sera renoncé à percevoir un émolument de décision dans le cadre de la présente procédure de renvoi. La Chambre civile avait retenu, dans son précédent arrêt, que chaque partie supporterait ses propres dépens d'appel pour des motifs d'équité liés à la nature du litige, et l'arrêt de renvoi ne justifie pas de modifier cette appréciation. * * * * *</w:t>
      </w:r>
    </w:p>
    <w:p>
      <w:r>
        <w:t>- 11/12 -</w:t>
      </w:r>
    </w:p>
    <w:p>
      <w:r>
        <w:t>C/11199/2021 PAR CES MOTIFS, La Chambre civile : Statuant sur renvoi du Tribunal fédéral : Condamne D______ à verser en mains de B______, par mois et d'avance, allocations familiales non comprises, une contribution à l'entretien de A______ de 1'230 fr. du ______ juin 2025 au ______ novembre 2027, à 1'180 fr. du ______ novembre 2027 au ______ juin 2030, de 1'260 fr. du ______ juin 2030 au ______ novembre 2032 puis de 1'230 fr. à compter du ______ novembre 2032 jusqu'à la majorité, voire au-delà en cas d'études ou formation sérieuses et régulières. Condamne D______ à verser en mains de B______, par mois et d'avance, allocations familiales non comprises, une contribution à l'entretien de C______ de 1'160 fr. du ______ novembre 2027 au ______ juin 2030, de 1'140 fr. du ______ juin 2030 au ______ novembre 2032, puis de 1'210 fr. dès le ______ novembre 2032 et jusqu'à la majorité, voire au-delà en cas d'études ou formation sérieuses et régulières. Sur les frais : Renonce à percevoir des frais judiciaires d'appel pour la procédure de renvoi. Dit que chaque partie supporte ses propres dépens d'appel. Siégeant : Monsieur Laurent RIEBEN, président; Madame Fabienne GEISINGER-MARIETHOZ, Madame Ursula ZEHETBAUER GHAVAMI, juges; Madame Jessica ATHMOUNI, greffière.</w:t>
      </w:r>
    </w:p>
    <w:p>
      <w:r>
        <w:t>- 12/12 -</w:t>
      </w:r>
    </w:p>
    <w:p>
      <w:r>
        <w:t>C/11199/2021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