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ACJC/1154/2016 vom 5. September 2016</w:t>
      </w:r>
    </w:p>
    <w:p>
      <w:r>
        <w:t>GE Cour de justice, 2016-09-05, FR</w:t>
      </w:r>
    </w:p>
    <w:p>
      <w:r>
        <w:rPr>
          <w:b/>
        </w:rPr>
        <w:t xml:space="preserve">Quelle: </w:t>
      </w:r>
      <w:r>
        <w:t>https://mcp.opencaselaw.ch/entscheid/ge_gerichte_ACJC_1154_2016</w:t>
      </w:r>
    </w:p>
    <w:p>
      <w:r>
        <w:t>FR: GE_GERICHTE ACJC/1154/2016 du 5 septembre 2016</w:t>
      </w:r>
    </w:p>
    <w:p>
      <w:r>
        <w:t>IT: GE_GERICHTE ACJC/1154/2016 del 5 settembre 2016</w:t>
      </w:r>
    </w:p>
    <w:p>
      <w:pPr>
        <w:pStyle w:val="Heading2"/>
      </w:pPr>
      <w:r>
        <w:t>Regeste</w:t>
      </w:r>
    </w:p>
    <w:p>
      <w:r>
        <w:t>Résumé: NUISANCES - LIEU DE SITUATION DE L'IMMEUBLE Le lieu de situation de l'immeuble détermine dans une large mesure le calme auquel peut s'attendre le locataire et le caractère évitable ou non et/ou la prévisibilité d'éventuelles nuisances.</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