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ACJC/1151/2016 vom 5. September 2016</w:t>
      </w:r>
    </w:p>
    <w:p>
      <w:r>
        <w:t>GE Cour de justice, 2016-09-05, FR</w:t>
      </w:r>
    </w:p>
    <w:p>
      <w:r>
        <w:rPr>
          <w:b/>
        </w:rPr>
        <w:t xml:space="preserve">Quelle: </w:t>
      </w:r>
      <w:r>
        <w:t>https://mcp.opencaselaw.ch/entscheid/ge_gerichte_ACJC_1151_2016</w:t>
      </w:r>
    </w:p>
    <w:p>
      <w:r>
        <w:t>FR: GE_GERICHTE ACJC/1151/2016 du 5 septembre 2016</w:t>
      </w:r>
    </w:p>
    <w:p>
      <w:r>
        <w:t>IT: GE_GERICHTE ACJC/1151/2016 del 5 settembre 2016</w:t>
      </w:r>
    </w:p>
    <w:p>
      <w:pPr>
        <w:pStyle w:val="Heading2"/>
      </w:pPr>
      <w:r>
        <w:t>Regeste</w:t>
      </w:r>
    </w:p>
    <w:p>
      <w:r>
        <w:t>Résumé: CHANGEMENT D'UN CYLINDRE DE SERRURE - POSE D'UNE ROSACE Le changement d'un cylindre de serrure ne tombe pas dans la catégorie des rénovations qui entraînent une amélioration de l'état de l'objet, ni dans celle des modifications qui touchent la substance même de l'objet; un consentement écrit n'est donc pas nécessaire. En revanche, le perçage de la porte palière touche la substance de l'objet loué.</w:t>
      </w:r>
    </w:p>
    <w:p>
      <w:pPr>
        <w:pStyle w:val="Heading2"/>
      </w:pPr>
      <w:r>
        <w:t>Volltext</w:t>
      </w:r>
    </w:p>
    <w:p>
      <w:r>
        <w:t>Résumé: CHANGEMENT D'UN CYLINDRE DE SERRURE - POSE D'UNE ROSACE Le changement d'un cylindre de serrure ne tombe pas dans la catégorie des rénovations qui entraînent une amélioration de l'état de l'objet, ni dans celle des modifications qui touchent la substance même de l'objet; un consentement écrit n'est donc pas nécessaire. En revanche, le perçage de la porte palière touche la substance de l'objet loué.</w:t>
      </w:r>
    </w:p>
    <w:p>
      <w:r>
        <w:t>Descripteurs: Descripteurs: BAIL À LOYER ; RÉNOVATION D'IMMEUBLE ; CHOSE LOUEE</w:t>
      </w:r>
    </w:p>
    <w:p>
      <w:r>
        <w:t>Normes: Normes: CO.260a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