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ACJC/1148/2020 vom 24. August 2020</w:t>
      </w:r>
    </w:p>
    <w:p>
      <w:r>
        <w:t>GE Cour de justice, 2020-08-24, FR</w:t>
      </w:r>
    </w:p>
    <w:p>
      <w:r>
        <w:rPr>
          <w:b/>
        </w:rPr>
        <w:t xml:space="preserve">Quelle: </w:t>
      </w:r>
      <w:r>
        <w:t>https://mcp.opencaselaw.ch/entscheid/ge_gerichte_ACJC_1148_2020</w:t>
      </w:r>
    </w:p>
    <w:p>
      <w:r>
        <w:t>FR: GE_GERICHTE ACJC/1148/2020 du 24 août 2020</w:t>
      </w:r>
    </w:p>
    <w:p>
      <w:r>
        <w:t>IT: GE_GERICHTE ACJC/1148/2020 del 24 agosto 2020</w:t>
      </w:r>
    </w:p>
    <w:p>
      <w:pPr>
        <w:pStyle w:val="Heading2"/>
      </w:pPr>
      <w:r>
        <w:t>Erwägungen</w:t>
      </w:r>
    </w:p>
    <w:p>
      <w:r>
        <w:rPr>
          <w:b/>
        </w:rPr>
        <w:t>E. 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 En l'espèce, l'appelante ne dit mot sur la valeur litigieuse. Celle-ci peut toutefois être estimée à un montant supérieur à 10'000 fr., compte tenu des conclusions de la requête. La voie de l'appel est par conséquent ouverte. Interjeté dans le délai de 10 jours et dans la forme prescrits (art. 311 al. 1 et 314 al. 1 CPC), l'appel est recevable.</w:t>
      </w:r>
    </w:p>
    <w:p>
      <w:r>
        <w:rPr>
          <w:b/>
        </w:rPr>
        <w:t>E. 2.1</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En l'espèce, seuls les griefs figurant dans l'acte d'appel seront examinés, la réplique n'étant pas destinée à compléter ou améliorer l'appel (cf. ATF 132 I 42 consid. 3.3.4 - JdT 2008 I 110), mais uniquement à présenter un exposé auquel les développements contenus dans la détermination de l’autre partie donnent lieu</w:t>
      </w:r>
    </w:p>
    <w:p>
      <w:r>
        <w:t>- 7/12 -</w:t>
      </w:r>
    </w:p>
    <w:p>
      <w:r>
        <w:t>C/3786/2020 (cf. ATF 135 I 19 consid. 2.2 - JdT 2009 I 443; arrêts du Tribunal fédéral 4A_487/2014 du 28 octobre 2014 consid. 1.2.4; 4A_66/2014 du 2 juin 2014 consid. 2.2).</w:t>
      </w:r>
    </w:p>
    <w:p>
      <w:r>
        <w:rPr>
          <w:b/>
        </w:rPr>
        <w:t>E. 2.2</w:t>
      </w:r>
    </w:p>
    <w:p>
      <w:r>
        <w:t>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3</w:t>
      </w:r>
    </w:p>
    <w:p>
      <w:r>
        <w:t>Les parties allèguent des faits nouveaux et l'appelante dépose des pièces nouvelles dans le cadre de la procédure d'appel.</w:t>
      </w:r>
    </w:p>
    <w:p>
      <w:r>
        <w:rPr>
          <w:b/>
        </w:rPr>
        <w:t>E. 3.1.1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 Commentaire romand, Code de procédure civile,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Le CPC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arrêts</w:t>
      </w:r>
    </w:p>
    <w:p>
      <w:r>
        <w:t>- 8/12 -</w:t>
      </w:r>
    </w:p>
    <w:p>
      <w:r>
        <w:t>C/3786/2020 du Tribunal fédéral 4A_303/2018 du 17 octobre 2018 consid. 3.2; 4A_334/2012 du 16 octobre 2012 consid. 3.1).</w:t>
      </w:r>
    </w:p>
    <w:p>
      <w:r>
        <w:rPr>
          <w:b/>
        </w:rPr>
        <w:t>E. 3.1.2</w:t>
      </w:r>
    </w:p>
    <w:p>
      <w:r>
        <w:t>A teneur de l'art. 151 CPC, les faits notoires ou notoirement connus du tribunal et les règles d’expérience généralement reconnues ne doivent pas être prouvés. Sont notamment assimilés à des faits notoires les indications figurant au Registre du commerce, accessibles par Internet (ATF 138 II 557 consid. 6.2; arrêts du Tribunal fédéral 4A_510/2018 du 7 mai 2019 consid. 5.3; 4A_509/2014 du</w:t>
      </w:r>
    </w:p>
    <w:p>
      <w:r>
        <w:rPr>
          <w:b/>
        </w:rPr>
        <w:t>E. 3.2</w:t>
      </w:r>
    </w:p>
    <w:p>
      <w:r>
        <w:t>En l'espèce, l'appelante n'explique pas pour quelles raisons elle n'a pas produit en première instance ses pièces nouvelles 10, 14 à 18, 20, 22 et 23. Ces pièces sont donc irrecevables, comme les allégués nouveaux formés par l'appelante sur la base de ces pièces. Les extraits du Registre de commerce du canton de Zoug produits par l'appelante sous pièces 19 et 21 sont en revanche recevables. Les indications contenues dans ses extraits sont aussi recevables, mais ne sont pas déterminantes pour la solution du litige en l'absence d'autres explications recevables. Les allégations nouvelles figurant dans la duplique de l'intimée sont irrecevables.</w:t>
      </w:r>
    </w:p>
    <w:p>
      <w:r>
        <w:rPr>
          <w:b/>
        </w:rPr>
        <w:t>E. 4</w:t>
      </w:r>
    </w:p>
    <w:p>
      <w:r>
        <w:t>L'appelante fait grief au Tribunal d'avoir violé l'art. 261 al. 1 CPC. Elle fait valoir que l'intimée n'a pas prouvé ne pas avoir eu accès aux données se trouvant sur l'adresse de courriels H______@______. Elle soutient avoir démontré que l'intimée a eu accès à ces données et souhaite s'en servir. A son avis, le fait que l'intimée ait "potentiellement" copié lesdites données et qu'elle les utilise viole l'art. 418v CO, "ce qui constitue une atteinte au sens des dispositions sur le contrat d'agence rendue vraisemblable par l'Appelante au vu des nombreuses incohérences dans le comportement de l'intimée". Il y aurait urgence vu le risque élevé que l'intimée, qui entend développer elle-même la clientèle, à tout le moins en Suisse romande, utilise les données en question, ce qui porterait "atteinte à la réputation et aux intérêts financiers de l'Appelante, qui a gagné la confiance de ses prospects en développant" la liste litigieuse.</w:t>
      </w:r>
    </w:p>
    <w:p>
      <w:r>
        <w:rPr>
          <w:b/>
        </w:rPr>
        <w:t>E. 4.1.1</w:t>
      </w:r>
    </w:p>
    <w:p>
      <w:r>
        <w:t>Les mesures provisionnelles sont des décisions à caractère temporaire qui règlent une situation juridique dans l'attente d'une réglementation définitive au travers d'une décision principale ultérieure (ATF 133 III 399 consid. 1.5; arrêt du</w:t>
      </w:r>
    </w:p>
    <w:p>
      <w:r>
        <w:t>- 9/12 -</w:t>
      </w:r>
    </w:p>
    <w:p>
      <w:r>
        <w:t>C/3786/2020 Tribunal fédéral 4A_288/2012 du 9 octobre 2012 consid. 1.2). Elles ne sont que l'accessoire d'une action au fond, qui réglera définitivement la situation juridique. Si le procès au fond n'est pas encore pendant, elles doivent être validées par l'ouverture d'une action (art. 263 CPC; arrêt du Tribunal fédéral 5A_229/2014 du 14 mai 2014 consid. 3.1).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requérant doit rendre vraisemblable tant l'existence de sa prétention matérielle de nature civile que sa mise en danger ou atteinte par un préjudice difficilement réparable, ainsi que l'urgence (HUBER, Kommentar zur Schweizerischen Zivilprozessordnung, 3ème éd. 2016, n. 23 ad art. 261 CPC)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2ème éd. 2019, n. 7 ad art. 261). Il doit en outre rendre vraisemblable une atteinte au droit ou son imminence, sur la base d'éléments objectifs (BOHNET, op. cit., n. 10 ad art. 261 CPC). Doit également être rendu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w:t>
      </w:r>
    </w:p>
    <w:p>
      <w:r>
        <w:t>- 10/12 -</w:t>
      </w:r>
    </w:p>
    <w:p>
      <w:r>
        <w:t>C/3786/2020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II, 2ème éd., 2010, p. 323 s.). La non réalisation des conditions à l'octroi de mesures provisionnelles conduit au rejet de la requête (ACJC/1471/2015 du 4 décembre 2015 consid. 3.1.1; ACJC/250/2015 du 6 mars 2015 consid. 4.1; ACJC/1610/2014 du 19 décembre 2014).</w:t>
      </w:r>
    </w:p>
    <w:p>
      <w:r>
        <w:rPr>
          <w:b/>
        </w:rPr>
        <w:t>E. 4.1.2</w:t>
      </w:r>
    </w:p>
    <w:p>
      <w:r>
        <w:t>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La vraisemblance requiert plus que de simples allégués: ceux-ci doivent être étayés par des éléments concrets ou des indices et être accompagnés de pièces (ATF 138 III 636 consid. 4.3.2 et 4.4; arrêt du Tribunal fédéral 5A_893/2013 du 18 février 2014 consid. 3). 4.1.3.A juste titre, les parties conviennent qu'elles ont été liées par un contrat d'agence. Le Tribunal a exposé les principes pertinents suivants - que l'appelante ne remet pas en discussion - régissant le devoir de restitution des parties à la fin du contrat et les principes régissant le droit de l'agent à une indemnité pour la clientèle. Aux termes de l'art. 418v CO, chaque partie est tenue de restituer à la fin du contrat d'agence tout ce qui lui a été remis pour la durée du contrat soit par l’autre partie, soit par des tiers pour le compte de cette dernière. Sont réservés les droits de rétention des parties. Tous les documents internes établis par l'agent lui restent acquis. Il en va ainsi des listes de clients. Ces informations sont de toute manière à disposition du mandant par le biais des contrats qu'il a conclus avec les clients (DREYER, CR CO I, 2ème éd. 2012, n. 3 ad art 418v CO; PÄRLI, BSK OR I, 7ème éd. 2020, n. 2 ad art. 418v CO). Lorsque l’agent, par son activité, a augmenté sensiblement le nombre des clients du mandant et que ce dernier ou son ayant-cause tire un profit effectif de ses relations d’affaires avec ces clients même après la fin du contrat, l’agent ou ses héritiers ont droit, à moins que ce ne soit inéquitable, à une indemnité convenable, qui ne peut pas leur être supprimée par convention (art. 418u al. 1 CO).</w:t>
      </w:r>
    </w:p>
    <w:p>
      <w:r>
        <w:t>- 11/12 -</w:t>
      </w:r>
    </w:p>
    <w:p>
      <w:r>
        <w:t>C/3786/2020 La notion de clientèle doit être comprise dans un sens relativement restreint : si les clients ne sont pas susceptibles de passer des commandes plus ou moins régulièrement, leur ensemble ne peut être qualifié de clientèle (DREYER, op. cit., n. 5 ad art. 418u et les références citées).</w:t>
      </w:r>
    </w:p>
    <w:p>
      <w:r>
        <w:rPr>
          <w:b/>
        </w:rPr>
        <w:t>E. 4.2</w:t>
      </w:r>
    </w:p>
    <w:p>
      <w:r>
        <w:t>En l'espèce, c'est à juste titre que le Tribunal a considéré que l'appelante n'a rendu vraisemblable ni l'atteinte ou le risque d'atteinte à ses prétentions découlant des dispositions sur le contrat d'agence précitées, ni le risque d'un préjudice difficilement réparable, ni l'urgence. L'appelante ne fonde sa requête que sur des allégations et des suppositions qui ne sont pas corroborées par les pièces du dossier, étant précisé que, contrairement à ce qu'elle soutient, l'intimée ne supportait pas le fardeau de la preuve et, en particulier, n'était pas tenue d'établir qu'elle n'avait pas eu accès aux données de la boîte e-mail litigieuse ou qu'elle ne détenait pas la liste des prospects de l'appelante. Le fait que l'intimée n'a pas donné suite à la proposition d'arrangement de sa parties adverse ne signifie pas qu'elle a eu accès à ces données et/ou qu'elle a l'intention de les utiliser. Comme le relève pertinemment le premier juge, le mot de passe d'accès à la boîte mail précitée a été modifié par l'appelante au début de la relation contractuelle, trois jours après la mise à disposition de l'adresse. Aucun élément du dossier ne rend vraisemblable que l'intimée a eu par la suite connaissance du nouveau mot de passe, qui ne lui a pas été communiqué par l'appelante. Celle-ci n'a ainsi pas rendu vraisemblable que l'intimée a eu accès à sa liste de prospects enregistrée dans la boîte e-mail litigieuse (la liste de clients étant connue de l'intimée par le biais des contrats conclus) ni, par conséquent, qu'elle s'apprêtait à en faire usage pour développer sa clientèle. Par ailleurs, il n'est pas contesté que l'appelante a pu récupérer la liste litigieuse, de sorte que l'intimée a rempli son devoir de restitution. Au vu de ce qui précède, le risque de préjudice difficilement réparable n'est pas non plus rendu vraisemblable. Il en va de même de la condition de l'urgence. En définitive c'est à bon droit que le Tribunal a rejeté la requête de mesures provisionnelles. L'ordonnance attaquée sera donc confirmée.</w:t>
      </w:r>
    </w:p>
    <w:p>
      <w:r>
        <w:rPr>
          <w:b/>
        </w:rPr>
        <w:t>E. 5</w:t>
      </w:r>
    </w:p>
    <w:p>
      <w:r>
        <w:t>Les frais judiciaires d'appel seront arrêtés à 1'200 fr. (art. 26 et 37 RTFMC), comprenant les frais de la procédure sur effet suspensif, mis à la charge de l'appelante, qui succombe (art. 106 al. 1 CPC) et compensés avec l'avance effectuée, acquise à l'Etat de Genève (art. 111 al. 1 CPC).</w:t>
      </w:r>
    </w:p>
    <w:p>
      <w:r>
        <w:t>L'appelante sera condamnée à verser à l'intimée 800 fr., débours et TVA compris, à titre de dépens d'appel (art. 20, 25 et 26 LaCC; art. 86, 88 et 90 RTFMC).</w:t>
      </w:r>
    </w:p>
    <w:p>
      <w:r>
        <w:t>- 12/12 -</w:t>
      </w:r>
    </w:p>
    <w:p>
      <w:r>
        <w:t>C/3786/2020 * * * * * PAR CES MOTIFS, La Chambre civile : A la forme : Déclare recevable l'appel interjeté le 14 mai 2020 par A______ SÀRL contre l'ordonnance OTPI/274/2020 rendue le 4 mai 2020 par le Tribunal de première instance dans la cause C/3786/2020-24 SP. Au fond : Confirme l'ordonnance attaquée. Déboute les parties de toutes autres conclusions. Sur les frais : Arrête les frais judiciaires d'appel à 1'200 fr., les met à la charge de A______ SARL et les compense avec l'avance effectuée, qui demeure acquise à l'Etat de Genève. Condamne A______ SARL à verser à B______ AG 800 fr. titre de dépens d'appel.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