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ACJC/1146/2017 vom 18. September 2017</w:t>
      </w:r>
    </w:p>
    <w:p>
      <w:r>
        <w:t>GE Cour de justice, 2017-09-18, FR</w:t>
      </w:r>
    </w:p>
    <w:p>
      <w:r>
        <w:rPr>
          <w:b/>
        </w:rPr>
        <w:t xml:space="preserve">Quelle: </w:t>
      </w:r>
      <w:r>
        <w:t>https://mcp.opencaselaw.ch/entscheid/ge_gerichte_ACJC_1146_2017</w:t>
      </w:r>
    </w:p>
    <w:p>
      <w:r>
        <w:t>FR: GE_GERICHTE ACJC/1146/2017 du 18 septembre 2017</w:t>
      </w:r>
    </w:p>
    <w:p>
      <w:r>
        <w:t>IT: GE_GERICHTE ACJC/1146/2017 del 18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6 avril 1997 = SJ 1997 p. 493 consid.1).</w:t>
      </w:r>
    </w:p>
    <w:p>
      <w:r>
        <w:t>La valeur litigieuse est déterminée par les dernières conclusions de première instance (art. 91 al. 1 CPC; JEANDIN, Code de procédure civile commenté, Bâle, 2011, n.13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t>- 7/11 -</w:t>
      </w:r>
    </w:p>
    <w:p>
      <w:r>
        <w:t>C/10554/2015</w:t>
      </w:r>
    </w:p>
    <w:p>
      <w:r>
        <w:rPr>
          <w:b/>
        </w:rPr>
        <w:t>E. 1.2</w:t>
      </w:r>
    </w:p>
    <w:p>
      <w:r>
        <w:t>En l'espèce, le loyer annuel de l'appartement, charges comprises, s'élève à 18'636 fr.</w:t>
      </w:r>
    </w:p>
    <w:p>
      <w:r>
        <w:t>En prenant en compte uniquement la durée de protection de trois ans et les montant du loyer, charges comprises, la valeur litigieuse est largement supérieure à 10'000 fr. (18'636 fr. x 3 = 55'908 fr.).</w:t>
      </w:r>
    </w:p>
    <w:p>
      <w:r>
        <w:t>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En l'espèce, l'appelante affirme avoir reçu le jugement le 1er février 2017. Déposé le 3 mars 2017, l'appel examiné ici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En l'espèce, l'appelante produit en appel un certificat médical daté du 29 novembre 2016, qu'elle affirme avoir reçu après le 5 décembre 2016, date à laquelle la cause a été gardée à juger devant le Tribunal, sans toutefois en apporter la preuve. En admettant que cette pièce n'était pas en sa possession à cette dernière date, elle peut être considérée comme recevable.</w:t>
      </w:r>
    </w:p>
    <w:p>
      <w:r>
        <w:rPr>
          <w:b/>
        </w:rPr>
        <w:t>E. 3.1</w:t>
      </w:r>
    </w:p>
    <w:p>
      <w:r>
        <w:t>L'appelante soutient que son comportement ne constituerait pas une violation de son devoir de diligence selon l'art. 257f CO, dans la mesure où le maintien du bail ne serait pas insupportable. Elle fait valoir qu'elle n'aurait fait l'objet que d'une seule plainte après la mise en demeure de fin janvier 2015 et que les nuisances sonores causées auraient été "très brèves". Selon elle, la bailleresse aurait dû envoyer un second avertissement, au vu de ses problèmes psychiques. Compte tenu de la durée du bail, soit vingt-quatre ans, et de l'amélioration de son comportement depuis son hospitalisation à F______, la résiliation serait disproportionnée, ce que confirmerait le fait que les voisins entendus comme</w:t>
      </w:r>
    </w:p>
    <w:p>
      <w:r>
        <w:t>- 8/11 -</w:t>
      </w:r>
    </w:p>
    <w:p>
      <w:r>
        <w:t>C/10554/2015 témoins auraient fait preuve de compréhension, souhaitant qu'une solution puisse être trouvée pour l'appelante.</w:t>
      </w:r>
    </w:p>
    <w:p>
      <w:r>
        <w:rPr>
          <w:b/>
        </w:rPr>
        <w:t>E. 3.2</w:t>
      </w:r>
    </w:p>
    <w:p>
      <w:r>
        <w:t>Aux termes de l'art. 257f al. 1 et 2 CO, le locataire est tenu d'user de la chose louée avec le soin nécessaire et, s'il s'agit d'un bien immobilier, d'avoir pour les personnes habitant la maison et pour les voisins, les égards qui leurs sont dus.</w:t>
      </w:r>
    </w:p>
    <w:p>
      <w:r>
        <w:t>C'est une dette portant sur une prestation négative qui pèse sur le locataire : en clair il doit s'abstenir de causer des nuisances excessives dans l'exécution du bail, en portant atteinte aux intérêts protégés – par la loi ou par un contrat – de tiers usagers ou voisins de l'immeuble en cause. Les nuisances en question ici consistent notamment dans des nuisances sonores en tout genre, comme du tapage ou de la musique nocturne (WESSNER, in BOHNET/MONTINI, CPra-Bail, n. 25 et 26 ad art. 257f CO et références). Le locataire qui enfreint son devoir d'égards envers les autres occupants de l'immeuble commet une violation contractuelle. Le degré de faute n'importe pas et un comportement négligent suffit à fonder une telle violation. Ainsi,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est tenu de veiller. Sa responsabilité contractuelle légale (art. 679 CC) peut du reste être engagée à cet égard (TERCIER/FAVRE, Les contrats spéciaux, 4ème éd. 2009, n° 2380). Dans un arrêt du 20 septembre 2011, rendu dans la cause 4A_263/2011, le Tribunal fédéral a retenu qu'une éventuelle absence de comportement fautif de la part du locataire à l'origine de bruits et de vociférations ne privait nullement le bailleur du droit de lui signifier un congé extraordinaire, fondé sur l'art. 257f al. 3 CO (consid. 3.4).</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- 9/11 -</w:t>
      </w:r>
    </w:p>
    <w:p>
      <w:r>
        <w:t>C/10554/2015</w:t>
      </w:r>
    </w:p>
    <w:p>
      <w:r>
        <w:t>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4C.270/2001 du 26 novembre 2001 consid. 3a).</w:t>
      </w:r>
    </w:p>
    <w:p>
      <w:r>
        <w:t>Le comportement que le locataire persiste à adopter doit être en rapport avec les griefs contenus dans la protestation; cette exigence ne saurait être appliquée trop vigoureusement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3.3</w:t>
      </w:r>
    </w:p>
    <w:p>
      <w:r>
        <w:t>En l'occurrence, l'appelante ne conteste pas avoir reçu un avertissement de la part de l'intimée, qui décrivait précisément le comportement dont elle devait désormais s'abstenir, à savoir les cris et hurlements, et d'une manière générale le bruit perturbant la tranquillité de l'immeuble et du voisinage. Il n'est pas non plus contesté que les délais prévus par l'art. 257f al. 3 CO ont été respectés, ni que les nuisances et vociférations ont repris durant les semaines qui ont suivi la mise en demeure du 28 janvier 2015.</w:t>
      </w:r>
    </w:p>
    <w:p>
      <w:r>
        <w:t>Le bruit causé par l'appelante après la fin janvier 2015 n'était pas négligeable, puisque les locataires voisins entendaient régulièrement ses cris à raison de quatre à cinq nuits par semaine, au point d'appeler, à au moins une occasion, les correspondants de nuit mis en place par la commune. L'intéressée donnait également des coups contre le sol, ce que tout l'immeuble pouvait entendre, selon certains témoignages. Un tel comportement, surtout s'il se répète, est manifestement contraire aux obligations du locataire découlant de l'art. 257f CO.</w:t>
      </w:r>
    </w:p>
    <w:p>
      <w:r>
        <w:t>- 10/11 -</w:t>
      </w:r>
    </w:p>
    <w:p>
      <w:r>
        <w:t>C/10554/2015 Dans ce contexte, la bailleresse n'a pas l'obligation de multiplier les avertissements avant de résilier le contrat avec effet immédiat, ce que ne prévoit d'ailleurs pas la loi. La durée du bail ne joue pas non plus de rôle dans le cas d'un congé pour justes motifs, fondé sur un manque d'égards envers le voisinage.</w:t>
      </w:r>
    </w:p>
    <w:p>
      <w:r>
        <w:t>Il s'ajoute à ce qui précède que l'appelante a bénéficié, au cours de la procédure de première instance, d'une forme de sursis puisque l'intimée s'était engagée à retirer le congé dans l'hypothèse où plus aucune nuisance ne lui serait signalée d'ici à la fin août 2016. L'intimée a dès lors agi avec mesure, de sorte que l'on ne saurait lui reprocher un comportement excessif ou disproportionné. Enfin et contrairement à ce qu'affirme l'appelante, le bruit et le dérangement provoqués par celle-ci se sont déroulés sur une période relativement longue puisque certains voisins ont fait état de perception de nuisances depuis 2008. Après la résiliation litigieuse, les nuisances sonores se sont poursuivies sur de nombreux mois supplémentaires, au vu notamment du courrier du 15 juin 2015 que plusieurs voisins ont adressé à la bailleresse, ainsi que de l'intervention de l'agent de police municipale au début janvier 2016.</w:t>
      </w:r>
    </w:p>
    <w:p>
      <w:r>
        <w:t>Quant à la modification du comportement de l'intéressée, elle n'est intervenue qu'à partir de juillet 2016, soit presque une année et demi après la notification de la mise en demeure de janvier 2015. Il s'agit donc d'un fait nettement postérieur au congé, dont il n'y a pas lieu de tenir compte dans le cadre de l'application de l'art. 257f CO. Il a par ailleurs déjà été indiqué plus haut que l'intention et le degré de responsabilité du locataire n'ont pas d'influence sur le bien-fondé du congé donné pour justes motifs, qui reste valable même si le comportement visé est le fait d'une personne incapable de discernement. Le bailleur doit en effet être en mesure de rétablir une situation normale dans l'immeuble et de ménager les intérêts des autres locataires et des voisins, ce que l'intimée a fait dans le cas d'espèce en notifiant le congé litigieux. Il découle des considérations qui précèdent que la résiliation litigieuse respecte les exigences de l'art. 257f CO et qu'elle ne saurait, en conséquence, être déclarée inefficace ou être annulée, comme l'ont retenu à raison les premiers juges.</w:t>
      </w:r>
    </w:p>
    <w:p>
      <w:r>
        <w:t>La décision attaquée sera dès lors confirmée.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C/10554/2015 PAR CES MOTIFS, La Chambre des baux et loyers : A la forme : Déclare recevable l'appel interjeté le 3 mars 2017 par A______ contre le jugement JTBL/81/2017 rendu le 27 janvier 2017 par le Tribunal des baux et loyers dans la cause C/10554/2015-2. Au fond : Confirme le jugement. Dit que la procédure est gratuite. Déboute les parties de toutes autres conclusions. Siégeant : Madame Nathalie LANDRY-BARTHE, présidente; Madame Sylvie DROIN, Monsieur Laurent RIEBEN, juges; Monsieur Grégoire CHAMBAZ,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