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ACJC/1145/2021 vom 16. September 2021</w:t>
      </w:r>
    </w:p>
    <w:p>
      <w:r>
        <w:t>GE Cour de justice, 2021-09-16, FR</w:t>
      </w:r>
    </w:p>
    <w:p>
      <w:r>
        <w:rPr>
          <w:b/>
        </w:rPr>
        <w:t xml:space="preserve">Quelle: </w:t>
      </w:r>
      <w:r>
        <w:t>https://mcp.opencaselaw.ch/entscheid/ge_gerichte_ACJC_1145_2021</w:t>
      </w:r>
    </w:p>
    <w:p>
      <w:r>
        <w:t>FR: GE_GERICHTE ACJC/1145/2021 du 16 septembre 2021</w:t>
      </w:r>
    </w:p>
    <w:p>
      <w:r>
        <w:t>IT: GE_GERICHTE ACJC/1145/2021 del 16 settembre 2021</w:t>
      </w:r>
    </w:p>
    <w:p>
      <w:pPr>
        <w:pStyle w:val="Heading2"/>
      </w:pPr>
      <w:r>
        <w:t>Erwägungen</w:t>
      </w:r>
    </w:p>
    <w:p>
      <w:r>
        <w:rPr>
          <w:b/>
        </w:rPr>
        <w:t>E. 12</w:t>
      </w:r>
    </w:p>
    <w:p>
      <w:r>
        <w:t>ans après la séparation des époux. Par ailleurs, l'épouse avait expressément consenti au divorce. La pesée des intérêts militait dès lors en faveur d'un prononcé immédiat du divorce accompagné du partage par moitié de la prévoyance professionnelle des époux accumulée durant le mariage et jusqu'à la date du dépôt de la demande en divorce. La procédure sur liquidation du régime matrimonial pouvait ensuite être entreprise, ou poursuivie parallèlement, sans que son droit au mariage ne soit violé. g.a Dans sa réponse datée du 12 juin 2020, A______ a conclu à ce qu'il soit donné acte à B______ de son engagement à maintenir le paiement des contributions d'entretien dues à son épouse sur mesures provisoires jusqu'au prononcé de la</w:t>
      </w:r>
    </w:p>
    <w:p>
      <w:r>
        <w:t>C/25223/2013 - 8/16 - décision ultérieure sur les questions de la contribution d'entretien et de la liquidation du régime matrimonial. Elle a conclu en outre à ce que la demande de jugement partiel soit principalement déclarée irrecevable, subsidiairement rejetée, et à ce que B______ soit condamné aux frais judiciaires ainsi qu'à lui verser des dépens de 5'000 fr. g.b A l'appui de ses conclusions en irrecevabilité de la demande, elle a soutenu que le complexe de faits fondant celle-ci était identique à celui fondant l'arrêt du Tribunal fédéral du 5 mars 2020. Les conclusions de son époux étaient identiques à celles de la troisième demande de jugement partiel du 18 avril 2018. Le Tribunal fédéral avait retenu que B______ avait failli à motiver de manière suffisante ses allégués relatifs à son concubinage ainsi qu'à sa volonté (ferme) de se remarier. Ces faits existaient déjà lors de la procédure précédente. La manœuvre de son époux visant à créer une nouvelle litispendance sur la base de faits dont il aurait dû se prévaloir en temps utile dans le cadre de la précédente procédure était dès lors abusive. L'"évolution des circonstances" évoquée par le Tribunal fédéral visait d'autres faits que ceux déjà jugés, à savoir des faits intervenus dès le 5 mars 2020. Entre cette date et le dépôt de la quatrième demande le 27 avril 2020, rien n'avait évolué du côté de la vie privée de son époux, ou rien n'avait été allégué. Le concubinage et la promesse de mariage dont se prévalait B______ étaient strictement les mêmes que ceux dont il avait essayé de se prévaloir de manière tardive devant le Tribunal fédéral. B______ ne pouvait dès lors se prévaloir d'aucun fait nouveau par rapport à la situation déjà existante devant le Tribunal fédéral. g.c Sur le fond, A______ a fait valoir que son époux avait démontré par ses agissements qu'il ne souhaitait pas que la procédure avance. S'il obtenait rapidement un jugement sur le principe du divorce, il aurait encore moins d'intérêt à faire avancer la procédure au fond et pourrait continuer "ses manœuvres dilatoires, dans le but de l'épuiser physiquement, mentalement et financièrement". Ainsi, l'intérêt de l'épouse à un traitement uniforme du divorce et ses effets était prépondérant par rapport à la volonté de l'époux de se remarier, étant précisé que le droit constitutionnel de celui-ci au remariage ne serait pas mis en péril dans deux ans et demi, durée résiduelle de la procédure estimée par B______ lui-même. h. Lors de son audition comme témoin le 14 octobre 2020, E______, s'exprimant avec le concours d'un interprète allemand-français, a confirmé qu'elle vivait en concubinage avec B______ depuis juillet 2015 et que ses enfants mineurs vivaient avec eux. Elle avait l'intention d'épouser le précité dès que possible. Elle avait signé la promesse de mariage devant notaire le 28 août 2019. Sur question du conseil de A______, elle a confirmé que B______ et elle-même avaient l'intention de se marier depuis le début de leur relation.</w:t>
      </w:r>
    </w:p>
    <w:p>
      <w:r>
        <w:t>C/25223/2013 - 9/16 - i. Lors de l'audience du 21 octobre 2020, les parties ont plaidé, en persistant dans leurs conclusions des 27 avril et 12 juin 2020, et le Tribunal a gardé la cause à juger. j. Dans le jugement attaqué, le Tribunal, en application de l'art. 59 al. 2 let. e CPC (ne bis in idem) et se fondant sur le consid. 4.3.2 de l'arrêt du Tribunal fédéral du 5 mars 2020, repris in extenso, a considéré que la demande de jugement partiel était recevable. Par ailleurs, les époux étaient séparés depuis presque dix ans. La procédure de divorce, initiée le 29 novembre 2013, soit plus de sept ans auparavant, progressait très lentement et faisait l'objet à chaque étape d'appels ou d'innombrables échanges de courriers virulents entre les conseils des parties. Si, malgré les restrictions sanitaires, les témoins avaient pu être entendus en 2020, il n'en demeurait pas moins que des expertises devaient encore être ordonnées, pour certaines par voie de commission rogatoire, ce qui laissait supposer, dans le meilleur des cas, le prononcé d'une décision de première instance au plus tôt durant le deuxième semestre de 2022. B______ déposait pour la quatrième fois une demande de divorce ad separatum en établissant à cette occasion qu'il vivait en concubinage depuis cinq ans et qu'il avait, ainsi que sa compagne, l'intention indiscutable de se marier. Certes, cette démonstration aurait pu se faire plus tôt mais elle n'en demeurait pas moins recevable. En procédant à une pesée d'intérêts entre l'authentique souhait de l'époux de se remarier - à mettre en regard non seulement avec son propre droit constitutionnel au mariage, mais également avec celui de sa compagne -, la durée de la procédure, dont l'issue restait encore très incertaine et le fait qu'un jugement partiel ne défavoriserait en rien l'épouse, qui avait acquiescé au principe du divorce, il se justifiait d'entrer en matière sur la requête de B______ et de prononcer le divorce. EN DROIT 1. 1.1. L'appel est recevable contre les décisions finales de première instance. Dans les affaires patrimoniales, l'appel est recevable si la valeur litigieuse au dernier état des conclusions est de 10'000 fr. au moins (art. 308 al. 1 let. a et al. 2 CPC).</w:t>
      </w:r>
    </w:p>
    <w:p>
      <w:r>
        <w:t>Une décision qui prononce le divorce des parties et qui a été notifiée séparément constitue une décision partielle (ATF 137 III 421 consid. 1.1; arrêt du Tribunal fédéral 5A_498/2012 du 14 septembre 2012 consid. 1.2).</w:t>
      </w:r>
    </w:p>
    <w:p>
      <w:r>
        <w:t>Dirigé contre une décision finale partielle portant sur une question non patrimoniale et interjeté dans le délai et la forme prescrits (art. 311 al. 1 CPC), l'appel du 15 mars 2021 est recevable.</w:t>
      </w:r>
    </w:p>
    <w:p>
      <w:r>
        <w:t>C/25223/2013 - 10/16 -</w:t>
      </w:r>
    </w:p>
    <w:p>
      <w:r>
        <w:t>1.2 La Cour revoit la cause en fait et en droit avec un plein pouvoir d'examen (art. 310 CPC).</w:t>
      </w:r>
    </w:p>
    <w:p>
      <w:r>
        <w:t>1.3 La maxime inquisitoire limitée s'applique au prononcé du divorce (art. 277 al. 3 CPC; TAPPY, Commentaire romand, Code de procédure civile, 2ème éd. 2019, N. 20 ad art. 277 CPC). 2. L'appelante reproche au premier juge d'avoir procédé à une constatation inexacte et incomplète des faits et d'avoir violé les art. 59 al. 1 et 2 let. e, ainsi que l'art. 229 CPC. Elle fait grief au Tribunal d'être entré en matière sur la demande du 27 avril 2021 de jugement partiel, alors que l'objet du litige était identique à celui qui avait été définitivement jugé par le Tribunal fédéral le 5 mars 2020. Elle soutient que seuls de nouveaux éléments de la vie personnelle de l'intimé intervenus après le 3 octobre 2018, date à laquelle la troisième cause avait été gardée à juger, pouvaient fonder l'introduction d'une nouvelle demande de jugement partiel. A son avis, le concubinage, la volonté de se remarier et la promesse de mariage dont l'intimé se prévalait étaient strictement les mêmes que ceux dont il avait essayé de se prévaloir de manière tardive devant le Tribunal fédéral dans le cadre de sa troisième demande de jugement partiel. En outre, en produisant une promesse de mariage conclue le 28 août 2019 destinée à établir sa volonté de se remarier (qui visait un nova potestatif et un fait qui existait déjà lors de la précédente procédure), l'intimé commettait un abus de droit. Enfin, une promesse de mariage était dénuée de tout intérêt et utilité dans la vie courante.</w:t>
      </w:r>
    </w:p>
    <w:p>
      <w:r>
        <w:t>2.1 2.1.1 L'art. 59 al. 2 let. e CPC (en relation avec l'art. 59 al. 1 CPC) s'oppose à ce que le tribunal entre en matière sur une demande lorsque le litige fait déjà l'objet d'une décision entrée en force. Il s'agit de l'effet de l'autorité de chose jugée attachée à la décision qui est entrée en force de chose jugée formelle (arrêt du Tribunal fédéral 4A_66/2016 du 22 août 2016 consid. 4.1.1).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arrêt du Tribunal fédéral 4A_449/2020 du 23 mars 2021 destiné à la publication consid. 3). L'autorité de la chose jugée s'étend à tous les faits qui existaient au moment du premier jugement, indépendamment du point de savoir s'ils étaient connus des parties, s'ils avaient été allégués par elles ou si le premier juge les avait considérés</w:t>
      </w:r>
    </w:p>
    <w:p>
      <w:r>
        <w:t>C/25223/2013 - 11/16 - comme prouvés. L'autorité de la chose jugée entraîne ainsi la forclusion des faits qui n'ont pas été invoqués. En revanche, elle n'empêche pas le dépôt d'une nouvelle demande fondée sur une modification des circonstances survenue depuis le premier jugement - ou, plus précisément, depuis le moment où, selon le droit déterminant, l'état de fait ayant servi de base audit jugement avait été définitivement arrêté. En d'autres termes, l'autorité de la chose jugée ne s'attache pas aux faits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140 III 278 consid. 3.3 et les réf. citées; 142 III 413 consid. 2.2.6; 116 II 738 consid. 2b; arrêt du Tribunal fédéral 4A_224/2017 du 17 juin 2017 consid. 2.3.1). 2.1.2 L'art. 229 CPC - qui ne s'applique qu'en première instance (arrêt du Tribunal fédéral 5A_364/2020 du 14 juin 2021 consid. 8.1) - a pour objet l'admissibilité des faits et moyens de preuves nouveaux. Après la clôture de la phase d'allégation - soit après la clôture du second échange d'écritures, ou après l'audience d'instruction, ou après l'ouverture des débats principaux avant les premières plaidoiries (ATF 144 III 67 consid. 2.1) -, la présentation de nova n'est plus possible qu'aux conditions restrictives de l'art. 229 al. 1 CPC (ATF 146 III 55 consid. 2.5.2; 140 III 312 consid. 6.3.2). L'art. 229 al. 1 CPC dispose que les faits et moyens de preuve nouveaux ne sont admis aux débats principaux que s'ils sont invoqués sans retard et qu'ils remplissent l'une des conditions suivantes: ils sont postérieurs à l'échange d'écriture ou à la dernière audience d'instruction ou ont été découverts postérieurement (nova proprement dits) (let. a); ils existaient avant la clôture de l'échange d'écritures ou la dernière audience d'instruction mais ne pouvaient pas être invoqués antérieurement bien que la partie qui s'en prévaut ait fait preuve de la diligence requise (nova improprement dits) (let. b) (arrêt du Tribunal fédéral 5A_641/2019 du 30 juin 2019 consid. 5.4). Lorsque l'invocation des faits ou la production de moyens de preuve nouveaux dépendent de la seule volonté d'une partie, ils ne peuvent être considérés comme des vrais nova (nova potestatifs) (ATF 146 III 416 consid. 5.3, arrêt du Tribunal fédéral 4A_76/2019 du 15 juillet 2020 consid. 8.1.2). 2.1.3 Le principe de l’unité du jugement de divorce au sens de l’art. 283 CPC n’exclut pas le prononcé d’une décision partielle limitée à la question du divorce (ATF 144 III 298 consid. 6.4; arrêt du Tribunal fédéral 5A_565/2020 du 27 mai 2021 consid.3.3.1 et 4.1.1). Le conjoint qui souhaite se remarier peut demander une décision partielle immédiate sur la question du divorce. Celle-ci peut être réglée dans le cadre d’une procédure à part en vertu du droit constitutionnel au mariage (art. 12 CEDH et</w:t>
      </w:r>
    </w:p>
    <w:p>
      <w:r>
        <w:t>C/25223/2013 - 12/16 -</w:t>
      </w:r>
    </w:p>
    <w:p>
      <w:r>
        <w:rPr>
          <w:b/>
        </w:rPr>
        <w:t>E. 14</w:t>
      </w:r>
    </w:p>
    <w:p>
      <w:r>
        <w:t>Cst.), qui comprend le droit de se remarier, lorsque la question du divorce est limpide et que le traitement de la procédure sur les effets du divorce tire en longueur (ATF 144 III 298 consid. 7.2.1). En effet, lorsque le droit national octroie la possibilité de divorcer, le droit de se remarier ne peut être soumis à des limitations déraisonnables. Une procédure de divorce trop longue est ainsi susceptible de heurter l'art. 12 CEDH (ACEDH Aresti Charalambous c. Chypre du 19 juillet 2007, par. 56; PAPAUX VAN DELDEN, Le droit au mariage et à la famille, in Fam.Pra.ch 2/2011 321, p.627-628). Lorsque l'autre conjoint ne s'oppose pas au divorce, mais à un jugement partiel limité à la question du divorce, il convient de procéder à une pesée des intérêts en présence (ATF 144 III 298 consid. 7). Il faut que l'intérêt de l'un des époux à obtenir une décision partielle limitée au principe du divorce soit supérieur à l'intérêt de l'autre conjoint à obtenir une décision unique réglant tant le principe du divorce que les effets de celui-ci. Le droit au remariage s'examine au regard du caractère liquide des motifs du divorce, de la durée de la procédure de divorce et d'autres circonstances pertinentes, comme le droit successoral, la présence d'enfants issus d'une nouvelle relation et l'âge des parties. En lien avec la question de savoir si le règlement des effets du divorce traîne en longueur, seule est déterminante la durée réelle de la procédure et non pas la conduite du procès par le tribunal; il convient par ailleurs d'établir un pronostic quant à la durée résiduelle prévisible de la procédure. Le Tribunal fédéral ne partage pas l'avis selon lequel une décision partielle limitée au principe du divorce n'est admissible que si la durée excessive de la procédure est due à un retard imputable au tribunal chargé de statuer ou à la partie adverse (arrêt du Tribunal fédéral 5A_426/2018 du</w:t>
      </w:r>
    </w:p>
    <w:p>
      <w:r>
        <w:rPr>
          <w:b/>
        </w:rPr>
        <w:t>E. 15</w:t>
      </w:r>
    </w:p>
    <w:p>
      <w:r>
        <w:t>novembre 2018 consid. 2.3-2.4, également in Fam.Pra.ch 2019 190). 2.1.4 Les fiançailles se forment par la promesse de mariage (art. 90 al. 1 CC). Elles constituent la première étape de la formation du lien conjugal. Elles appartiennent ainsi au droit de la famille et établissent un rapport social particulier, doublé d'un rapport contractuel (PAPAUX VAN DELDEN, in Commentaire romand, Code civil I, Bâle 2010, n. 4 ad art. 90 CC). Les fiançailles désignent aussi bien le contrat par lequel le couple se promet le mariage que le statut qui découle de cette promesse. Elles créent un statut juridique provisoire entre le moment où deux personnes de sexe différent se promettent mutuellement le mariage et celui où elles font célébrer leur mariage par un officier d'état civil. Ainsi, toute personne mariée a nécessairement été auparavant fiancée, au plus tard à l'instant où la demande en exécution de la procédure préparatoire du mariage a été déposée auprès d'un officier de l'état civil compétent (art. 98 CC). Le contrat de fiançailles est conclu lorsqu'un homme et une femme ont réciproquement et de manière concordante manifesté leur volonté de se marier. Le code ne pose aucune exigence de forme pour ce contrat qui peut donc être conclu en la forme authentique, écrite, orale ou tacite. Un échange oral de promesses ou un simple geste symbolique (acceptation d'une bague de fiançailles) suffit. Il appartient à</w:t>
      </w:r>
    </w:p>
    <w:p>
      <w:r>
        <w:t>C/25223/2013 - 13/16 - celui qui s'affirme fiancé de le prouver (GUILLOUD/BURGAT, Droit des familles, 5ème éd. 2018, pp. 230, n. 357 et 358). La forme authentique est la forme solennelle selon laquelle une personne autorisée à cet effet par le canton confectionne, selon la procédure prescrite par ce canton, un document écrit consignant les déclarations de volonté ou la constatation de faits (MOOSER, Commentaire romand, Code civil I, 2010, n. 12 ad art. 9 CC). Cette forme solennelle vise notamment à éviter aux parties des engagements irréfléchis en s'assurant qu'elles comprennent la portée de leurs engagements et expriment leur volonté de façon claire et complète (ATF 118 II 32 consid. 3d; arrêt du Tribunal fédéral 4A_573/2016 du 19 septembre 2017 consid. 4.2.2). Les faits dont atteste le document bénéficient d'une force probante accrue (cf. art. 9 CC; MOOSER, op. cit., n. 23 ad art. 9 CC). 2.1.5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(ATF 143 III 279 consid. 3.1; 135 III 162 consid. 3.3.1; arrêt du Tribunal fédéral 4A_303/2017 du 13 décembre 2017 consid. 3.3.). 2.2 En l'espèce, l'objet du litige n'est pas identique à celui de la précédente procédure. En effet, le complexe de faits n'est pas le même: les circonstances ont évolué en ce sens qu'un acte authentique a été conclu portant promesse de mariage, que la durée de la procédure de divorce a augmenté de manière sensible (deux ans entre l'introduction de la troisième demande ad separatum et la présente) et que la fin de la procédure sur les effets accessoires du divorce s'est éloignée, vu que des projets de mission d'expertise et de commissions rogatoires, visant notamment des biens immobiliers sis en Espagne, Italie et France, n'ont été soumis aux parties que le 6 mai 2021 avec un délai au 2 juillet 2021 pour qu'elles se déterminent. La conclusion d'un acte authentique, intervenue après le prononcé de l'arrêt de la Cour du 18 juin 2019, ne pouvait être alléguée dans le cadre de la troisième procédure cantonale. Il s'agit donc d'un fait qui n'existait pas au moment de la précédente décision, au sens de la jurisprudence relative au principe ne bis in idem. Indépendamment de la question de savoir si les intéressés s'étaient déjà mutuellement promis le mariage auparavant, oralement ou par actes concluants, ce qui ne résulte pas de la procédure, la conclusion d'un acte authentique ne dépendait pas de la seule volonté de l'intimé, mais également de celle de E______.</w:t>
      </w:r>
    </w:p>
    <w:p>
      <w:r>
        <w:t>C/25223/2013 - 14/16 - Il ne s'agit donc pas d'un nova potestatif. Par ailleurs, il n'est pas établi que l'intimé et sa fiancée avaient l'intention de conclure un acte authentique avant le 28 août 2019. Aucune question à ce sujet n'a été posée à l'intimé ou à E______ lors de l'audience du Tribunal du 14 octobre 2020. La déclaration du témoin, qui s'exprimait en allemand avec le concours d'un interprète, selon laquelle l'intention des intéressés de se marier existait depuis le début de leur relation, ne signifie pas qu'ils envisageaient de se promettre le mariage devant notaire, ni même qu'un échange oral de promesses ou un simple geste symbolique avait déjà eu lieu. Il n'est donc pas nécessaire d'examiner si les principes sur les novas potestatifs résultant de l'art. 229 CPC (cf. ci-dessus consid. 2.1.2), dont se prévaut l'appelante, s'appliquent également dans le cadre d'une nouvelle procédure, en complément de la jurisprudence du Tribunal fédéral sur l'autorité de la chose jugée (cf. ci-dessus, consid. 2.1.1). Il découle également de ce qui précède qu'en produisant l'acte authentique du 28 août 2019 l'intimé n'a pas abusé de son droit. En définitive, c'est à juste titre que le Tribunal a déclaré recevable la demande de jugement partiel introduite le 27 avril 2020 par l'intimé. Le chiffre 1 du dispositif du jugement attaqué sera donc confirmé. 3. Dans son acte d'appel du 15 mars 2021, l'appelante ne critique par la pesée des intérêts effectuée par le premier juge, qui a admis la demande de jugement partiel. A toutes fins utiles, la Cour fait sien le raisonnement du Tribunal. Le jugement attaqué sera donc confirmé également en tant qu'il prononce le divorce des parties (ch. 2 du dispositif). Les chiffres 3 à 6 du dispositif du jugement attaqué ne sont pas critiqués, de sorte qu'ils seront confirmés. 4. L'appelante fait grief au Tribunal de ne pas avoir statué sur "les conclusions communes des parties" au sujet du sort des contributions à l'entretien de l'épouse fixées sur mesures provisionnelles, en cas de prononcé du divorce ad separatum.</w:t>
      </w:r>
    </w:p>
    <w:p>
      <w:r>
        <w:t>4.1 En règle générale, l'entrée en vigueur de la décision au fond entraîne la caducité des mesures provisionnelles (art. 268 al. 2 CPC). Cela étant, selon l'art. 276 al. 3 CPC, de telles mesures pourront encore être ordonnées après la dissolution du mariage, tant que la procédure relative aux effets du divorce n'est pas close. Cette disposition implique non seulement la possibilité de mesures provisionnelles nouvelles, mais aussi la persistance des mesures ordonnées avant la dissolution du mariage (arrêts du Tribunal fédéral 5A_437/2015 du 5 novembre 2015 consid. 3.3.1; 5A_516/2013 du 2 avril 2014 consid. 4.2; TAPPY, in Commentaire romand, Code de procédure civile, 2ème éd. 2019, n. 44 et 46 ad art. 276 CPC).</w:t>
      </w:r>
    </w:p>
    <w:p>
      <w:r>
        <w:t>C/25223/2013 - 15/16 -</w:t>
      </w:r>
    </w:p>
    <w:p>
      <w:r>
        <w:t>Les mesures provisionnelles postérieures à la dissolution du mariage continuent à obéir aux règles régissant les rapports entre gens mariés (arrêt du Tribunal fédéral 5P.352/2003 du 28 novembre 2003). La dissolution du mariage n'est pas non plus en soi un élément qui suffirait à justifier un réexamen du régime provisionnel existant (arrêt du Tribunal fédéral 5P.121/2002 du 12 juin 2002 consid. 3.1; TAPPY, op. cit., n. 47 ad art. 276 CPC).</w:t>
      </w:r>
    </w:p>
    <w:p>
      <w:r>
        <w:t>4.2 En l'espèce, c'est à juste titre que le premier juge n'a pas donné suite à une conclusion de l'intimé qui ne faisait que reprendre la solution légale et jurisprudentielle. Il est précisé que, contrairement à ce que soutient l'appelante, les conclusions des parties n'étaient pas "convergentes", puisque l'appelante demandait au Tribunal de donner acte à l'intimé d'un engagement qu'il n'avait pas pris formellement.</w:t>
      </w:r>
    </w:p>
    <w:p>
      <w:r>
        <w:t>Le jugement sera ainsi également confirmé en tant qu'il a débouté les parties de toutes autres conclusions (ch. 7 du dispositif). 5. Les frais judiciaires d'appel seront arrêtés à 1'250 fr. (art. 30 et 35 RTFMC) et mis à la charge de l'appelante, qui succombe (art. 106 al. 1 CPC). Ils seront compensés avec l'avance du même montant effectuée, laquelle demeure acquise à l'Etat de Genève (art. 111 al. 1 CPC). Compte tenu de la nature familiale du litige, chaque partie supportera ses propres dépens d'appel (art. 107 al. 1 let. c CPC).</w:t>
      </w:r>
    </w:p>
    <w:p>
      <w:r>
        <w:t>* * * * *</w:t>
      </w:r>
    </w:p>
    <w:p>
      <w:r>
        <w:t>- 16/16 -</w:t>
      </w:r>
    </w:p>
    <w:p>
      <w:r>
        <w:t>C/25223/2013</w:t>
      </w:r>
    </w:p>
    <w:p>
      <w:r>
        <w:t>PAR CES MOTIFS, La Chambre civile : A la forme : Déclare recevable l'appel interjeté le 15 mars 2021 par A______ contre le jugement JTPI/1827/2021 rendu le 10 février 2021 par le Tribunal de première instance dans la cause C/25223/2013-19. Au fond : Confirme le jugement attaqué. Déboute les parties de toutes autres conclusions. Sur les frais : Arrête les frais judiciaires d'appel à 1'250 fr., les met à la charge de A______ et les compense avec l'avance effectuée, laquelle demeure acquise à l'Etat de Genève. Dit que chaque partie supporte ses propres dépens d'appel. Siégeant : Monsieur Ivo BUETTI, président; Madame Sylvie DROIN, Madame Nathalie RAPP,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