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ACJC/1145/2011 vom 19. September 2011</w:t>
      </w:r>
    </w:p>
    <w:p>
      <w:r>
        <w:t>GE Cour de justice, 2011-09-19, FR</w:t>
      </w:r>
    </w:p>
    <w:p>
      <w:r>
        <w:rPr>
          <w:b/>
        </w:rPr>
        <w:t xml:space="preserve">Quelle: </w:t>
      </w:r>
      <w:r>
        <w:t>https://mcp.opencaselaw.ch/entscheid/ge_gerichte_ACJC_1145_2011</w:t>
      </w:r>
    </w:p>
    <w:p>
      <w:r>
        <w:t>FR: GE_GERICHTE ACJC/1145/2011 du 19 septembre 2011</w:t>
      </w:r>
    </w:p>
    <w:p>
      <w:r>
        <w:t>IT: GE_GERICHTE ACJC/1145/2011 del 19 settembre 2011</w:t>
      </w:r>
    </w:p>
    <w:p>
      <w:pPr>
        <w:pStyle w:val="Heading2"/>
      </w:pPr>
      <w:r>
        <w:t>Erwägungen</w:t>
      </w:r>
    </w:p>
    <w:p>
      <w:r>
        <w:rPr>
          <w:b/>
        </w:rPr>
        <w:t>E. 4</w:t>
      </w:r>
    </w:p>
    <w:p>
      <w:r>
        <w:t>Au vu des conclusions litigieuses devant la Cour, à savoir la différence de loyer entre 20'400 fr. par année et 14'400 fr. par année représente 6'000 fr., montant qui, calculé sur 20 ans, permet de considérer la valeur litigieuse du cas d’espèce supé- rieure à 15'000 fr. au sens de l’art. 74 al. 1 lettre a LTF. * * * * *</w:t>
      </w:r>
    </w:p>
    <w:p>
      <w:r>
        <w:t>- 8/8 -</w:t>
      </w:r>
    </w:p>
    <w:p>
      <w:r>
        <w:t>C/15375/2009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