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ACJC/1144/2017 vom 12. September 2017</w:t>
      </w:r>
    </w:p>
    <w:p>
      <w:r>
        <w:t>GE Cour de justice, 2017-09-12, FR</w:t>
      </w:r>
    </w:p>
    <w:p>
      <w:r>
        <w:rPr>
          <w:b/>
        </w:rPr>
        <w:t xml:space="preserve">Quelle: </w:t>
      </w:r>
      <w:r>
        <w:t>https://mcp.opencaselaw.ch/entscheid/ge_gerichte_ACJC_1144_2017</w:t>
      </w:r>
    </w:p>
    <w:p>
      <w:r>
        <w:t>FR: GE_GERICHTE ACJC/1144/2017 du 12 septembre 2017</w:t>
      </w:r>
    </w:p>
    <w:p>
      <w:r>
        <w:t>IT: GE_GERICHTE ACJC/1144/2017 del 12 settembre 2017</w:t>
      </w:r>
    </w:p>
    <w:p>
      <w:pPr>
        <w:pStyle w:val="Heading2"/>
      </w:pPr>
      <w:r>
        <w:t>Erwägungen</w:t>
      </w:r>
    </w:p>
    <w:p>
      <w:r>
        <w:rPr>
          <w:b/>
        </w:rPr>
        <w:t>E. 1.1</w:t>
      </w:r>
    </w:p>
    <w:p>
      <w:r>
        <w:t>En tant qu'elle ordonne l'audition d'un témoin par commission rogatoire et formule les questions à lui poser, la décision querellée est une ordonnance de</w:t>
      </w:r>
    </w:p>
    <w:p>
      <w:r>
        <w:t>- 5/9 -</w:t>
      </w:r>
    </w:p>
    <w:p>
      <w:r>
        <w:t>C/13753/2015 preuves au sens de l'art. 154 CPC, qui entre dans la catégorie des «ordonnances d'instruction» de première instance mentionnées à l'art. 319 let. b CPC (JEANDIN, n CPC, Code de procédure civile commenté, BOHNET/HALDY/JEANDIN/ SCHWEIZER/TAPPY [éd.], 2011, n. 10, 11 et 14 ad art. 319 CPC; FREIBURGHAUS/ AFHELDT, Kommentar zur Schweizerischen Zivilprozessordnung [ZPO], 3e éd. 2016, n. 11 ad art. 319 CPC; HOFMANN/LÜSCHER, Le Code de procédure civile, 2e éd. 2015, p. 148). Elle est donc susceptible d'un recours immédiat stricto sensu, pour autant que la recourante soit menacée d'un préjudice difficilement réparable au sens de l'art. 319 let. b ch. 2 CPC, les autres hypothèses visées par l'art. 319 let. b ch. 1 n'étant pas réalisées.</w:t>
      </w:r>
    </w:p>
    <w:p>
      <w:r>
        <w:rPr>
          <w:b/>
        </w:rPr>
        <w:t>E. 1.2</w:t>
      </w:r>
    </w:p>
    <w:p>
      <w:r>
        <w:t>En l'espèce, le recours a été introduit auprès de l'instance de recours (art. 120 al. 1 let. a LOJ), dans les délai et forme prescrits par la loi (art. 130, 131, 142 al. 1 et 321 al. 2 CPC), par une partie qui y a intérêt (art. 59 al. 2 let. a CPC), de sorte qu'il est recevable à cet égard.</w:t>
      </w:r>
    </w:p>
    <w:p>
      <w:r>
        <w:rPr>
          <w:b/>
        </w:rPr>
        <w:t>E. 1.3</w:t>
      </w:r>
    </w:p>
    <w:p>
      <w:r>
        <w:t>Reste à déterminer si l'ordonnance querellée est susceptible de causer à la recourante un préjudice difficilement réparable.</w:t>
      </w:r>
    </w:p>
    <w:p>
      <w:r>
        <w:rPr>
          <w:b/>
        </w:rPr>
        <w:t>E. 1.3.1</w:t>
      </w:r>
    </w:p>
    <w:p>
      <w:r>
        <w:t>La notion de «préjudice difficilement réparable» est plus large que celle de «préjudice irréparable» au sens de l'art. 93 al. 1 let. a LTF (cf. ATF 138 III 378 consid. 6.3; 137 III 380 consid. 2, in SJ 2012 I p. 73). Il s'agit de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 JEANDIN/SCHWEIZER [éd.], 2011, n. 22 ad art. 319 CPC; REICH, in Schweizerische Zivilprozessordnung [ZPO], BAKER&amp;MCKENZIE [éd.], 2010, n. 8 ad art. 319 CPC). Le préjudice sera ainsi considéré comme difficilement réparable s'il ne peut pas être supprimé ou seulement partiellement, même dans l'hypothèse d'une décision finale favorable au recourant (REICH, op. cit., n. 8 ad art. 319 CPC). 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2011, BOHNET/HALDY/SCHWEIZER/TAPPY [éd.], n. 9 ad art. 126 CPC).</w:t>
      </w:r>
    </w:p>
    <w:p>
      <w:r>
        <w:rPr>
          <w:b/>
        </w:rPr>
        <w:t>E. 1.3.2</w:t>
      </w:r>
    </w:p>
    <w:p>
      <w:r>
        <w:t>Le droit d'être entendu, tel qu'il est garanti par l'art. 29 al. 2 Cst., comprend notamment le droit de produire des preuves pertinentes, d'obtenir qu'il soit donné</w:t>
      </w:r>
    </w:p>
    <w:p>
      <w:r>
        <w:t>- 6/9 -</w:t>
      </w:r>
    </w:p>
    <w:p>
      <w:r>
        <w:t>C/13753/2015 suite à des offres de preuves pertinentes, de participer à l'administration des preuves essentielles ou à tout le moins de s'exprimer sur son résultat, lorsque cela est de nature à influer sur la décision à rendre (ATF 140 I 285 consid. 6.3.1 et les arrêts cités). Lorsque des prétentions du droit civil fédéral sont en jeu, le droit à la preuve déduit du droit d'être entendu est rattaché plus spécifiquement à l'art. 8 CC (entre autres, arrêt du Tribunal fédéral 5A_600/2010 du 5 janvier 2011 consid. 4.3.2). Le juge enfreint en particulier cette disposition s'il tient pour exactes les allégations non prouvées d'une partie, nonobstant leur contestation par la partie adverse (ATF 130 III 591 consid. 5.4, in JdT 2006 I 131; 114 II 289 consid. 2a, in JdT 1989 I 84). Ni l'art. 29 al. 2 Cst., ni l'art. 8 CC n'excluent cependant une appréciation anticipée des preuves (ATF 138 III 374 consid. 4.3.1).</w:t>
      </w:r>
    </w:p>
    <w:p>
      <w:r>
        <w:rPr>
          <w:b/>
        </w:rPr>
        <w:t>E. 1.3.3</w:t>
      </w:r>
    </w:p>
    <w:p>
      <w:r>
        <w:t>En l'espèce, la recourante critique la formulation de l'une des questions à soumettre au témoin par voie de commission rogatoire, qu'elle estime manquer de neutralité et d'objectivité, en ce qu'elle laisserait transparaître que le Tribunal a admis l'existence d'une relation contractuelle entre elle-même et le témoin. Elle soutient subir un préjudice difficilement réparable si cette question était maintenue dans son libellé actuel, dans la mesure où elle se verrait alors privée de son droit de prouver les faits qu'elle allègue. De la formulation de la question litigieuse («Pour quelle raison Mme A______ a- t-elle souhaité vous confier la gestion de son compte?») peut effectivement être compris qu'il est tenu pour établi que le patrimoine de la recourante a été confié au témoin en sa qualité de tiers gérant et non en sa qualité de représentant de la banque. Or, c'est précisément cette problématique qui est au centre des débats et qui a conduit les parties à requérir l'audition dudit témoin. Certes, le contenu et le libellé des autres questions soumises au témoin permettraient à celui-ci d'expliquer les fondements de sa relation avec la recourante. Il apparaît cependant essentiel, dans le contexte particulier de l'audition d'un témoin par voie de commission rogatoire, qui implique un important prolongement de la procédure, ainsi qu'un travail de traduction et les risques d'imprécision qui en découlent, que chaque question soit rédigée de manière claire et précise. Dans ces circonstances, il se justifie d'entrer en matière sur le recours et de reformuler la question litigieuse, en vue d'éviter tout risque de confusion du témoin et de garantir ainsi le droit à la preuve de la recourante. Dès lors que l'allégué n. 18 de la banque, sur lequel se fonde cette question, ne traite pas des «raisons» de l'éventuelle attribution de ce mandat, une sous- question, en cas de réponse affirmative à la première question, n'est pas nécessaire.</w:t>
      </w:r>
    </w:p>
    <w:p>
      <w:r>
        <w:t>- 7/9 -</w:t>
      </w:r>
    </w:p>
    <w:p>
      <w:r>
        <w:t>C/13753/2015 Le recours sera admis et la première sous-question du chiffre 8 de la lettre B. sera, partant, reformulée de la manière suivante : «Mme A______ a-t-elle souhaité vous confier la gestion de son compte ?». L'ordonnance entreprise sera modifiée en conséquence.</w:t>
      </w:r>
    </w:p>
    <w:p>
      <w:r>
        <w:rPr>
          <w:b/>
        </w:rPr>
        <w:t>E. 2</w:t>
      </w:r>
    </w:p>
    <w:p>
      <w:r>
        <w:t>Les frais judiciaires du recours seront arrêtés à 1'000 fr. (art. 95 al. 1 let. a et al. 2, 96, 104 al. 1 et 105 al. 1 CPC; art. 41 RTFMC), mis à la charge de l'intimée, qui succombe (art. 106 al. 1 CPC), et compensés avec l'avance de frais versée par la recourante, qui reste acquise à l'Etat de Genève (art. 111 al. 1 CPC). L'intimée sera en conséquence condamnée à verser 1'000 fr. à la recourante à titre de frais judiciaires du recours.</w:t>
      </w:r>
    </w:p>
    <w:p>
      <w:r>
        <w:t>L'intimée sera en outre condamnée aux dépens de la recourante, fixés à 1'500 fr., débours et TVA compris (art. 95 al. 1 let. b et al. 3, 96, 104 al. 1, 105 al. 2 et 106 al. 1 CPC; art. 84, 85, 87 et 90 RTFMC; art. 25 et 26 al. 1 LaCC; art. 25 al. 1 LTVA).</w:t>
      </w:r>
    </w:p>
    <w:p>
      <w:r>
        <w:rPr>
          <w:b/>
        </w:rPr>
        <w:t>E. 3</w:t>
      </w:r>
    </w:p>
    <w:p>
      <w:r>
        <w:t>Le présent arrêt, qui ne constitue pas une décision finale, peut être porté au Tribunal fédéral, par la voie du recours en matière civile (art. 51 al. 1 let. c et 72 ss LTF; cf. arrêt du Tribunal fédéral 4A_85/2007 consid. 2.1), aux conditions de l'art. 93 LTF. * * * * * *</w:t>
      </w:r>
    </w:p>
    <w:p>
      <w:r>
        <w:t>- 8/9 -</w:t>
      </w:r>
    </w:p>
    <w:p>
      <w:r>
        <w:t>C/13753/2015 PAR CES MOTIFS, La Chambre civile : A la forme : Déclare recevable le recours formé le 7 avril 2017 par A______ contre le chiffre B.8 de l'ordonnance ORTPI/276/2017 rendue le 24 mars 2017 par le Tribunal de première instance dans la cause C/13753/2015-13. Au fond : Dit que la première sous-question du ch. 8 de la lettre B. de l'ordonnance précitée est modifiée comme suit : «Mme A______ a-t-elle souhaité vous confier la gestion de son compte ?». Confirme le chiffre 8 de la lettre B. de l'ordonnance querellée pour le surplus. Déboute les parties de toutes autres conclusions de recours. Sur les frais : Arrête les frais judiciaires de recours à 1'000 fr., les met à la charge de B______ et dit qu'ils sont intégralement compensés avec l'avance versée par A______, qui reste acquise à l'Etat de Genève. Condamne en conséquence B______ à verser 1'000 fr. à A______ à titre de remboursement de l'avance de frais. Condamne B______ à verser 1'500 fr. à A______ à titre de dépens de recours. Siégeant : Madame Sylvie DROIN, présidente; Monsieur Ivo BUETTI et Madame Ursula ZEHETBAUER GHAVAMI, juges; Madame Camille LESTEVEN, greffière.</w:t>
      </w:r>
    </w:p>
    <w:p>
      <w:r>
        <w:t>La présidente : Sylvie DROIN</w:t>
      </w:r>
    </w:p>
    <w:p>
      <w:r>
        <w:t>La greffière : Camille LESTEVEN</w:t>
      </w:r>
    </w:p>
    <w:p>
      <w:r>
        <w:t>- 9/9 -</w:t>
      </w:r>
    </w:p>
    <w:p>
      <w:r>
        <w:t>C/13753/2015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