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ACJC/1141/2017 vom 27. Juli 2017</w:t>
      </w:r>
    </w:p>
    <w:p>
      <w:r>
        <w:t>GE Cour de justice, 2017-07-27, FR</w:t>
      </w:r>
    </w:p>
    <w:p>
      <w:r>
        <w:rPr>
          <w:b/>
        </w:rPr>
        <w:t xml:space="preserve">Quelle: </w:t>
      </w:r>
      <w:r>
        <w:t>https://mcp.opencaselaw.ch/entscheid/ge_gerichte_ACJC_1141_2017</w:t>
      </w:r>
    </w:p>
    <w:p>
      <w:r>
        <w:t>FR: GE_GERICHTE ACJC/1141/2017 du 27 juillet 2017</w:t>
      </w:r>
    </w:p>
    <w:p>
      <w:r>
        <w:t>IT: GE_GERICHTE ACJC/1141/2017 del 27 luglio 2017</w:t>
      </w:r>
    </w:p>
    <w:p>
      <w:pPr>
        <w:pStyle w:val="Heading2"/>
      </w:pPr>
      <w:r>
        <w:t>Volltext</w:t>
      </w:r>
    </w:p>
    <w:p>
      <w:r>
        <w:t>Le présent arrêt est communiqué aux parties par plis recommandés ainsi qu'au Tribunal de première instance le 15 septembre 2017.</w:t>
      </w:r>
    </w:p>
    <w:p>
      <w:r>
        <w:t>REPUBLIQUE ET</w:t>
      </w:r>
    </w:p>
    <w:p>
      <w:r>
        <w:t>CANTON DE GENEVE POUVOIR JUDICIAIRE C/12622/2016 ACJC/1141/2017 ARRÊT DE LA COUR DE JUSTICE Chambre civile DU MERCREDI 13 SEPTEMBRE 2017</w:t>
      </w:r>
    </w:p>
    <w:p>
      <w:r>
        <w:t>Entre Monsieur A______, domicilié _______, appelant d'un jugement rendu par la 7ème Chambre du Tribunal de première instance de ce canton le 27 juillet 2017, comparant par Me Florence Yersin, avocate, 4, boulevard Helvétique, 1205 Genève, en l'étude de laquelle il fait élection de domicile, et Monsieur B______, représenté par Mme C______, intimé, comparant par Me Christian Canela, avocat, 24, Les Vergers de la Gottaz, 1110 Morges (VD), en l'étude duquel il fait élection de domicile.</w:t>
      </w:r>
    </w:p>
    <w:p>
      <w:r>
        <w:t>- 2/4 -</w:t>
      </w:r>
    </w:p>
    <w:p>
      <w:r>
        <w:t>C/12622/2016 Attendu, EN FAIT, que par jugement du 27 juillet 2017, le Tribunal de première instance a ordonné à tout débiteur et/ou employeur de A______, en particulier à la Banque D______, _______, de verser, mensuellement à B______, par prélèvement sur la part de la rémunération nette de A______, y compris d'éventuelles primes, commissions, gratifications ou treizième salaire, un montant de 2'500 fr. par mois, à concurrence de la contribution d'entretien courante due pour B______ à 2'500 fr. par mois, dès le 20 juin 2016 (ch. 1 du dispositif), dit que l'obligation visée sous chiffre 1 ci-dessus s'étendait notamment à toute caisse de compensation, caisse maladie, accident ou de chômage (ch. 2) ainsi qu'à toute modification dans le montant de la contribution d'entretien courante (ch. 3), dit que B______ était tenu d'annoncer à tout débiteur, employeur, caisse de compensation, caisse maladie, accident ou de chômage, toute modification dans le montant de contribution d'entretien courante (ch. 4), statué sur les frais (ch. 5 à 8) et débouté les parties de toutes autres conclusions (ch. 9); Que par acte déposé au greffe de la Cour le 10 août 2017, A______ a formé appel contre ce jugement, concluant à son annulation et au déboutement de C_____ et B______ de toutes leurs conclusions, avec suite de frais, subsidiairement à la suspension de la procédure jusqu'à l'entrée en force de l'arrêt de la Cour statuant sur modification du jugement de divorce dans le cadre de la procédure C/1______; Qu'il a également conclu à la suspension du caractère exécutoire du jugement attaqué; qu'il a fait valoir à cet égard que compte tenu de la modification du jugement de divorce concernant la contribution d'entretien, la requête d'avis au débiteur était vidée de son objet puisqu'il s'était acquitté de ses obligations; la requête d'avis au débiteur était en outre une manœuvre qui contrevenait aux décisions de la Cour décidant de suspendre les procédures de séquestre et de mainlevée jusqu'à droit jugé sur l'action en modification du jugement de divorce; Qu'invité à se déterminer à cet égard, B______ a conclu au rejet de la requête d'effet suspensif au motif qu'il subirait un préjudice difficilement réparable si tel était le cas;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la simple exécution de créances d'argent n'emporte pas en soi un dommage difficilement réparable dans la mesure où le</w:t>
      </w:r>
    </w:p>
    <w:p>
      <w:r>
        <w:t>- 3/4 -</w:t>
      </w:r>
    </w:p>
    <w:p>
      <w:r>
        <w:t>C/12622/2016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l'intimé est domicilié à l'étranger, dans un pays situé hors de l'Union européenne, soit au ______; Qu'il y a lieu d'admettre que la récupération d'une somme dans ce pays, si elle n'est pas impossible, peut s'avérer difficile et ainsi causer un dommage difficilement réparable à l'appelant; Que l'appel ne paraît pas d'emblée dénué de chances de succès; Que l'intimé ne rend par ailleurs pas vraisemblable qu'il subirait un dommage difficilement réparable en cas d'octroi de l'effet suspensif; Qu'il sera dès lors fait droit à la requête tendant à l'octroi de l'effet suspensif à l'appel; Qu'il sera statué sur les frais liés à la présente décision dans l'arrêt rendu sur le fond (art. 104 al. 3 CC). * * * * * *</w:t>
      </w:r>
    </w:p>
    <w:p>
      <w:r>
        <w:t>- 4/4 -</w:t>
      </w:r>
    </w:p>
    <w:p>
      <w:r>
        <w:t>C/12622/2016 PAR CES MOTIFS, La Chambre civile : Statuant sur requête de suspension du caractère exécutoire du jugement entrepris : Admet la requête de A______ tendant à suspendre le caractère exécutoire du jugement JTPI/9700/2017 rendu le 27 juillet 2017 par le Tribunal de première instance dans la cause C/12622/2016-7.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